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'1.0' encoding='utf-8'?>
<Relationships xmlns="http://schemas.openxmlformats.org/package/2006/relationships"><Relationship Id="document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TrustGTR</w:t>
      </w:r>
    </w:p>
    <w:p>
      <w:pPr>
        <w:pStyle w:val="Heading1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项目完整计划与实验路线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  <w:b/>
        </w:rPr>
        <w:t xml:space="preserve">TrustGTR: Reliability-Aware Multi-Cycle Global Retrieval for Time Series Forecasting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面向时间序列预测的可靠性感知多周期全局检索网络</w:t>
      </w:r>
    </w:p>
    <w:p>
      <w:pPr>
        <w:pStyle w:val="Callout"/>
      </w:pPr>
      <w:r>
        <w:rPr>
          <w:rFonts w:ascii="Liberation Sans" w:hAnsi="Liberation Sans" w:eastAsia="WenQuanYi Micro Hei"/>
          <w:lang w:val="en-US" w:eastAsia="zh-CN"/>
        </w:rPr>
        <w:t xml:space="preserve">从官方复现出发，用可复核的实验回答：当前样本应该参考哪段历史，以及这些历史模式值得信任多少？</w:t>
      </w:r>
    </w:p>
    <w:tbl>
      <w:tblPr>
        <w:tblW w:w="9638" w:type="dxa"/>
        <w:tblLayout w:type="fixed"/>
        <w:tblCellMar>
          <w:top w:w="65" w:type="dxa"/>
          <w:bottom w:w="65" w:type="dxa"/>
          <w:left w:w="105" w:type="dxa"/>
          <w:right w:w="105" w:type="dxa"/>
        </w:tblCellMar>
        <w:tblBorders>
          <w:top w:val="single" w:sz="4" w:color="D5DFE8"/>
          <w:left w:val="single" w:sz="4" w:color="D5DFE8"/>
          <w:bottom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2602"/>
        <w:gridCol w:w="7036"/>
      </w:tblGrid>
      <w:tr>
        <w:trPr>
          <w:cantSplit/>
          <w:tblHeader/>
        </w:trPr>
        <w:tc>
          <w:tcPr>
            <w:tcW w:w="2602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项目项</w:t>
            </w:r>
          </w:p>
        </w:tc>
        <w:tc>
          <w:tcPr>
            <w:tcW w:w="7036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本文档口径</w:t>
            </w:r>
          </w:p>
        </w:tc>
      </w:tr>
      <w:tr>
        <w:trPr>
          <w:cantSplit/>
        </w:trPr>
        <w:tc>
          <w:tcPr>
            <w:tcW w:w="2602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文档版本</w:t>
            </w:r>
          </w:p>
        </w:tc>
        <w:tc>
          <w:tcPr>
            <w:tcW w:w="7036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v1.0 · 2026-10-05</w:t>
            </w:r>
          </w:p>
        </w:tc>
      </w:tr>
      <w:tr>
        <w:trPr>
          <w:cantSplit/>
        </w:trPr>
        <w:tc>
          <w:tcPr>
            <w:tcW w:w="2602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证据截止</w:t>
            </w:r>
          </w:p>
        </w:tc>
        <w:tc>
          <w:tcPr>
            <w:tcW w:w="7036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第五轮正式实验结束；全部数值从持久化 metrics 自动读取</w:t>
            </w:r>
          </w:p>
        </w:tc>
      </w:tr>
      <w:tr>
        <w:trPr>
          <w:cantSplit/>
        </w:trPr>
        <w:tc>
          <w:tcPr>
            <w:tcW w:w="2602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当前阶段</w:t>
            </w:r>
          </w:p>
        </w:tc>
        <w:tc>
          <w:tcPr>
            <w:tcW w:w="7036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官方复现完成；创新仍处于单 seed 快速筛选</w:t>
            </w:r>
          </w:p>
        </w:tc>
      </w:tr>
      <w:tr>
        <w:trPr>
          <w:cantSplit/>
        </w:trPr>
        <w:tc>
          <w:tcPr>
            <w:tcW w:w="2602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已选数据</w:t>
            </w:r>
          </w:p>
        </w:tc>
        <w:tc>
          <w:tcPr>
            <w:tcW w:w="7036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ETTh1、Solar；输入 96、预测 96，seed 2024</w:t>
            </w:r>
          </w:p>
        </w:tc>
      </w:tr>
      <w:tr>
        <w:trPr>
          <w:cantSplit/>
        </w:trPr>
        <w:tc>
          <w:tcPr>
            <w:tcW w:w="2602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研究范围</w:t>
            </w:r>
          </w:p>
        </w:tc>
        <w:tc>
          <w:tcPr>
            <w:tcW w:w="7036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 多周期历史记忆、B 可靠性门控、C 状态对比检索，完整保留</w:t>
            </w:r>
          </w:p>
        </w:tc>
      </w:tr>
      <w:tr>
        <w:trPr>
          <w:cantSplit/>
        </w:trPr>
        <w:tc>
          <w:tcPr>
            <w:tcW w:w="2602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项目位置</w:t>
            </w:r>
          </w:p>
        </w:tc>
        <w:tc>
          <w:tcPr>
            <w:tcW w:w="7036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/mnt/data/zza/code/TrustGTR</w:t>
            </w:r>
          </w:p>
        </w:tc>
      </w:tr>
    </w:tbl>
    <w:p>
      <w:pPr>
        <w:pStyle w:val="TableAfter"/>
      </w:pP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当前最重要的判断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ETTh1 的 A5 为 </w:t>
      </w:r>
      <w:r>
        <w:rPr>
          <w:rFonts w:ascii="Liberation Sans" w:hAnsi="Liberation Sans" w:eastAsia="WenQuanYi Micro Hei"/>
          <w:lang w:val="en-US" w:eastAsia="zh-CN"/>
          <w:b/>
        </w:rPr>
        <w:t xml:space="preserve">0.366727 / 0.391116</w:t>
      </w:r>
      <w:r>
        <w:rPr>
          <w:rFonts w:ascii="Liberation Sans" w:hAnsi="Liberation Sans" w:eastAsia="WenQuanYi Micro Hei"/>
          <w:lang w:val="en-US" w:eastAsia="zh-CN"/>
        </w:rPr>
        <w:t xml:space="preserve">，相对原 GTR 的 MSE / MAE 降低 </w:t>
      </w:r>
      <w:r>
        <w:rPr>
          <w:rFonts w:ascii="Liberation Sans" w:hAnsi="Liberation Sans" w:eastAsia="WenQuanYi Micro Hei"/>
          <w:lang w:val="en-US" w:eastAsia="zh-CN"/>
          <w:b/>
        </w:rPr>
        <w:t xml:space="preserve">0.7770% / 0.3792%</w:t>
      </w:r>
      <w:r>
        <w:rPr>
          <w:rFonts w:ascii="Liberation Sans" w:hAnsi="Liberation Sans" w:eastAsia="WenQuanYi Micro Hei"/>
          <w:lang w:val="en-US" w:eastAsia="zh-CN"/>
        </w:rPr>
        <w:t xml:space="preserve">。完整 ABC5 也改善两项指标，但弱于 A5。新版历史检索尚未在 Solar 正式验证；独立模块贡献和统计稳定性仍待建立。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本文档同时给出已完成事实、研究假设、后续实验和停止扩张条件。工作标题保留原设想；“独立长周期建模”尚不能作为已验证结论。</w:t>
      </w:r>
    </w:p>
    <w:p>
      <w:pPr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01 阅读导航与范围</w:t>
      </w:r>
    </w:p>
    <w:tbl>
      <w:tblPr>
        <w:tblW w:w="9638" w:type="dxa"/>
        <w:tblLayout w:type="fixed"/>
        <w:tblCellMar>
          <w:top w:w="65" w:type="dxa"/>
          <w:bottom w:w="65" w:type="dxa"/>
          <w:left w:w="105" w:type="dxa"/>
          <w:right w:w="105" w:type="dxa"/>
        </w:tblCellMar>
        <w:tblBorders>
          <w:top w:val="single" w:sz="4" w:color="D5DFE8"/>
          <w:left w:val="single" w:sz="4" w:color="D5DFE8"/>
          <w:bottom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1156"/>
        <w:gridCol w:w="4819"/>
        <w:gridCol w:w="3663"/>
      </w:tblGrid>
      <w:tr>
        <w:trPr>
          <w:cantSplit/>
          <w:tblHeader/>
        </w:trPr>
        <w:tc>
          <w:tcPr>
            <w:tcW w:w="1156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页码</w:t>
            </w:r>
          </w:p>
        </w:tc>
        <w:tc>
          <w:tcPr>
            <w:tcW w:w="4819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内容</w:t>
            </w:r>
          </w:p>
        </w:tc>
        <w:tc>
          <w:tcPr>
            <w:tcW w:w="3663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用途</w:t>
            </w:r>
          </w:p>
        </w:tc>
      </w:tr>
      <w:tr>
        <w:trPr>
          <w:cantSplit/>
        </w:trPr>
        <w:tc>
          <w:tcPr>
            <w:tcW w:w="1156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1</w:t>
            </w:r>
          </w:p>
        </w:tc>
        <w:tc>
          <w:tcPr>
            <w:tcW w:w="481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项目封面与证据快照</w:t>
            </w:r>
          </w:p>
        </w:tc>
        <w:tc>
          <w:tcPr>
            <w:tcW w:w="3663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快速理解当前状态</w:t>
            </w:r>
          </w:p>
        </w:tc>
      </w:tr>
      <w:tr>
        <w:trPr>
          <w:cantSplit/>
        </w:trPr>
        <w:tc>
          <w:tcPr>
            <w:tcW w:w="1156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2</w:t>
            </w:r>
          </w:p>
        </w:tc>
        <w:tc>
          <w:tcPr>
            <w:tcW w:w="481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阅读导航与范围</w:t>
            </w:r>
          </w:p>
        </w:tc>
        <w:tc>
          <w:tcPr>
            <w:tcW w:w="3663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区分事实与计划</w:t>
            </w:r>
          </w:p>
        </w:tc>
      </w:tr>
      <w:tr>
        <w:trPr>
          <w:cantSplit/>
        </w:trPr>
        <w:tc>
          <w:tcPr>
            <w:tcW w:w="1156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3</w:t>
            </w:r>
          </w:p>
        </w:tc>
        <w:tc>
          <w:tcPr>
            <w:tcW w:w="481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研究问题与 A/B/C 贡献</w:t>
            </w:r>
          </w:p>
        </w:tc>
        <w:tc>
          <w:tcPr>
            <w:tcW w:w="3663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确认完整创新范围</w:t>
            </w:r>
          </w:p>
        </w:tc>
      </w:tr>
      <w:tr>
        <w:trPr>
          <w:cantSplit/>
        </w:trPr>
        <w:tc>
          <w:tcPr>
            <w:tcW w:w="1156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4</w:t>
            </w:r>
          </w:p>
        </w:tc>
        <w:tc>
          <w:tcPr>
            <w:tcW w:w="481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官方复现协议</w:t>
            </w:r>
          </w:p>
        </w:tc>
        <w:tc>
          <w:tcPr>
            <w:tcW w:w="3663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公平比较的固定条件</w:t>
            </w:r>
          </w:p>
        </w:tc>
      </w:tr>
      <w:tr>
        <w:trPr>
          <w:cantSplit/>
        </w:trPr>
        <w:tc>
          <w:tcPr>
            <w:tcW w:w="1156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5</w:t>
            </w:r>
          </w:p>
        </w:tc>
        <w:tc>
          <w:tcPr>
            <w:tcW w:w="481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A：历史记忆与检索</w:t>
            </w:r>
          </w:p>
        </w:tc>
        <w:tc>
          <w:tcPr>
            <w:tcW w:w="3663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当前实现及周期定义</w:t>
            </w:r>
          </w:p>
        </w:tc>
      </w:tr>
      <w:tr>
        <w:trPr>
          <w:cantSplit/>
        </w:trPr>
        <w:tc>
          <w:tcPr>
            <w:tcW w:w="1156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6</w:t>
            </w:r>
          </w:p>
        </w:tc>
        <w:tc>
          <w:tcPr>
            <w:tcW w:w="481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B：可靠性门控</w:t>
            </w:r>
          </w:p>
        </w:tc>
        <w:tc>
          <w:tcPr>
            <w:tcW w:w="3663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回退与收益监督</w:t>
            </w:r>
          </w:p>
        </w:tc>
      </w:tr>
      <w:tr>
        <w:trPr>
          <w:cantSplit/>
        </w:trPr>
        <w:tc>
          <w:tcPr>
            <w:tcW w:w="1156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7</w:t>
            </w:r>
          </w:p>
        </w:tc>
        <w:tc>
          <w:tcPr>
            <w:tcW w:w="481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C：状态对比检索</w:t>
            </w:r>
          </w:p>
        </w:tc>
        <w:tc>
          <w:tcPr>
            <w:tcW w:w="3663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正负样本与训练边界</w:t>
            </w:r>
          </w:p>
        </w:tc>
      </w:tr>
      <w:tr>
        <w:trPr>
          <w:cantSplit/>
        </w:trPr>
        <w:tc>
          <w:tcPr>
            <w:tcW w:w="1156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8</w:t>
            </w:r>
          </w:p>
        </w:tc>
        <w:tc>
          <w:tcPr>
            <w:tcW w:w="481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版本演进与负结果</w:t>
            </w:r>
          </w:p>
        </w:tc>
        <w:tc>
          <w:tcPr>
            <w:tcW w:w="3663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保留失败原因与修正</w:t>
            </w:r>
          </w:p>
        </w:tc>
      </w:tr>
      <w:tr>
        <w:trPr>
          <w:cantSplit/>
        </w:trPr>
        <w:tc>
          <w:tcPr>
            <w:tcW w:w="1156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9</w:t>
            </w:r>
          </w:p>
        </w:tc>
        <w:tc>
          <w:tcPr>
            <w:tcW w:w="481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最新正式结果与开销</w:t>
            </w:r>
          </w:p>
        </w:tc>
        <w:tc>
          <w:tcPr>
            <w:tcW w:w="3663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对照单 seed 证据</w:t>
            </w:r>
          </w:p>
        </w:tc>
      </w:tr>
      <w:tr>
        <w:trPr>
          <w:cantSplit/>
        </w:trPr>
        <w:tc>
          <w:tcPr>
            <w:tcW w:w="1156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10</w:t>
            </w:r>
          </w:p>
        </w:tc>
        <w:tc>
          <w:tcPr>
            <w:tcW w:w="481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验证集检索诊断</w:t>
            </w:r>
          </w:p>
        </w:tc>
        <w:tc>
          <w:tcPr>
            <w:tcW w:w="3663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判断内容价值与上限</w:t>
            </w:r>
          </w:p>
        </w:tc>
      </w:tr>
      <w:tr>
        <w:trPr>
          <w:cantSplit/>
        </w:trPr>
        <w:tc>
          <w:tcPr>
            <w:tcW w:w="1156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11</w:t>
            </w:r>
          </w:p>
        </w:tc>
        <w:tc>
          <w:tcPr>
            <w:tcW w:w="481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下一阶段最短路线</w:t>
            </w:r>
          </w:p>
        </w:tc>
        <w:tc>
          <w:tcPr>
            <w:tcW w:w="3663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下一批具体实验</w:t>
            </w:r>
          </w:p>
        </w:tc>
      </w:tr>
      <w:tr>
        <w:trPr>
          <w:cantSplit/>
        </w:trPr>
        <w:tc>
          <w:tcPr>
            <w:tcW w:w="1156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12</w:t>
            </w:r>
          </w:p>
        </w:tc>
        <w:tc>
          <w:tcPr>
            <w:tcW w:w="481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独立贡献与消融矩阵</w:t>
            </w:r>
          </w:p>
        </w:tc>
        <w:tc>
          <w:tcPr>
            <w:tcW w:w="3663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证明创新而非堆模块</w:t>
            </w:r>
          </w:p>
        </w:tc>
      </w:tr>
      <w:tr>
        <w:trPr>
          <w:cantSplit/>
        </w:trPr>
        <w:tc>
          <w:tcPr>
            <w:tcW w:w="1156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13</w:t>
            </w:r>
          </w:p>
        </w:tc>
        <w:tc>
          <w:tcPr>
            <w:tcW w:w="481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强基线与数据扩展</w:t>
            </w:r>
          </w:p>
        </w:tc>
        <w:tc>
          <w:tcPr>
            <w:tcW w:w="3663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有效后再扩规模</w:t>
            </w:r>
          </w:p>
        </w:tc>
      </w:tr>
      <w:tr>
        <w:trPr>
          <w:cantSplit/>
        </w:trPr>
        <w:tc>
          <w:tcPr>
            <w:tcW w:w="1156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14</w:t>
            </w:r>
          </w:p>
        </w:tc>
        <w:tc>
          <w:tcPr>
            <w:tcW w:w="481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多 seed、漂移与复杂度</w:t>
            </w:r>
          </w:p>
        </w:tc>
        <w:tc>
          <w:tcPr>
            <w:tcW w:w="3663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正式证据建设</w:t>
            </w:r>
          </w:p>
        </w:tc>
      </w:tr>
      <w:tr>
        <w:trPr>
          <w:cantSplit/>
        </w:trPr>
        <w:tc>
          <w:tcPr>
            <w:tcW w:w="1156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15</w:t>
            </w:r>
          </w:p>
        </w:tc>
        <w:tc>
          <w:tcPr>
            <w:tcW w:w="481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GPU 队列与失败恢复</w:t>
            </w:r>
          </w:p>
        </w:tc>
        <w:tc>
          <w:tcPr>
            <w:tcW w:w="3663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自动化执行规范</w:t>
            </w:r>
          </w:p>
        </w:tc>
      </w:tr>
      <w:tr>
        <w:trPr>
          <w:cantSplit/>
        </w:trPr>
        <w:tc>
          <w:tcPr>
            <w:tcW w:w="1156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16</w:t>
            </w:r>
          </w:p>
        </w:tc>
        <w:tc>
          <w:tcPr>
            <w:tcW w:w="481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环境、代码与结果还原</w:t>
            </w:r>
          </w:p>
        </w:tc>
        <w:tc>
          <w:tcPr>
            <w:tcW w:w="3663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交接和复现</w:t>
            </w:r>
          </w:p>
        </w:tc>
      </w:tr>
      <w:tr>
        <w:trPr>
          <w:cantSplit/>
        </w:trPr>
        <w:tc>
          <w:tcPr>
            <w:tcW w:w="1156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17</w:t>
            </w:r>
          </w:p>
        </w:tc>
        <w:tc>
          <w:tcPr>
            <w:tcW w:w="481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里程碑与决策规则</w:t>
            </w:r>
          </w:p>
        </w:tc>
        <w:tc>
          <w:tcPr>
            <w:tcW w:w="3663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阶段完成判据</w:t>
            </w:r>
          </w:p>
        </w:tc>
      </w:tr>
      <w:tr>
        <w:trPr>
          <w:cantSplit/>
        </w:trPr>
        <w:tc>
          <w:tcPr>
            <w:tcW w:w="1156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18</w:t>
            </w:r>
          </w:p>
        </w:tc>
        <w:tc>
          <w:tcPr>
            <w:tcW w:w="481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来源与关键实验索引</w:t>
            </w:r>
          </w:p>
        </w:tc>
        <w:tc>
          <w:tcPr>
            <w:tcW w:w="3663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定位原始证据</w:t>
            </w:r>
          </w:p>
        </w:tc>
      </w:tr>
    </w:tbl>
    <w:p>
      <w:pPr>
        <w:pStyle w:val="TableAfter"/>
      </w:pP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  <w:b/>
        </w:rPr>
        <w:t xml:space="preserve">状态词的含义：</w:t>
      </w:r>
      <w:r>
        <w:rPr>
          <w:rFonts w:ascii="Liberation Sans" w:hAnsi="Liberation Sans" w:eastAsia="WenQuanYi Micro Hei"/>
          <w:lang w:val="en-US" w:eastAsia="zh-CN"/>
        </w:rPr>
        <w:t xml:space="preserve">“已完成”表示证据已落盘；“已实现待验证”表示代码存在但没有正式预测结果；“计划”表示后续条件性任务。训练成功只说明执行链路成功，不等同于科学假设成立。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本次只编制项目文档，不启动新实验。当前最新队列状态为 </w:t>
      </w:r>
      <w:r>
        <w:rPr>
          <w:rFonts w:ascii="Liberation Sans" w:hAnsi="Liberation Sans" w:eastAsia="WenQuanYi Micro Hei"/>
          <w:lang w:val="en-US" w:eastAsia="zh-CN"/>
          <w:b/>
        </w:rPr>
        <w:t xml:space="preserve">COMPLETED</w:t>
      </w:r>
      <w:r>
        <w:rPr>
          <w:rFonts w:ascii="Liberation Sans" w:hAnsi="Liberation Sans" w:eastAsia="WenQuanYi Micro Hei"/>
          <w:lang w:val="en-US" w:eastAsia="zh-CN"/>
        </w:rPr>
        <w:t xml:space="preserve">；新版本、更多 seed、外部基线和压力测试均按后续阶段执行。</w:t>
      </w:r>
    </w:p>
    <w:p>
      <w:pPr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02 研究问题与完整创新范围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核心问题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原 GTR 使用一个可学习全局表示 Q，按相位取片段，与局部输入经过二维卷积和残差融合。我们关注的不足是：不同预测样本需要的历史上下文不同；同一周期位置可能属于不同状态；过去有效的模式在漂移或突发变化时可能失效。</w:t>
      </w:r>
    </w:p>
    <w:tbl>
      <w:tblPr>
        <w:tblW w:w="9638" w:type="dxa"/>
        <w:tblLayout w:type="fixed"/>
        <w:tblCellMar>
          <w:top w:w="65" w:type="dxa"/>
          <w:bottom w:w="65" w:type="dxa"/>
          <w:left w:w="105" w:type="dxa"/>
          <w:right w:w="105" w:type="dxa"/>
        </w:tblCellMar>
        <w:tblBorders>
          <w:top w:val="single" w:sz="4" w:color="D5DFE8"/>
          <w:left w:val="single" w:sz="4" w:color="D5DFE8"/>
          <w:bottom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1252"/>
        <w:gridCol w:w="2795"/>
        <w:gridCol w:w="5591"/>
      </w:tblGrid>
      <w:tr>
        <w:trPr>
          <w:cantSplit/>
          <w:tblHeader/>
        </w:trPr>
        <w:tc>
          <w:tcPr>
            <w:tcW w:w="1252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模块</w:t>
            </w:r>
          </w:p>
        </w:tc>
        <w:tc>
          <w:tcPr>
            <w:tcW w:w="2795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要解决的问题</w:t>
            </w:r>
          </w:p>
        </w:tc>
        <w:tc>
          <w:tcPr>
            <w:tcW w:w="5591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拟建立的贡献</w:t>
            </w:r>
          </w:p>
        </w:tc>
      </w:tr>
      <w:tr>
        <w:trPr>
          <w:cantSplit/>
        </w:trPr>
        <w:tc>
          <w:tcPr>
            <w:tcW w:w="1252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</w:t>
            </w:r>
          </w:p>
        </w:tc>
        <w:tc>
          <w:tcPr>
            <w:tcW w:w="2795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应该看哪段历史？</w:t>
            </w:r>
          </w:p>
        </w:tc>
        <w:tc>
          <w:tcPr>
            <w:tcW w:w="5591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多个历史跨度中的状态条件检索与动态选择</w:t>
            </w:r>
          </w:p>
        </w:tc>
      </w:tr>
      <w:tr>
        <w:trPr>
          <w:cantSplit/>
        </w:trPr>
        <w:tc>
          <w:tcPr>
            <w:tcW w:w="1252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B</w:t>
            </w:r>
          </w:p>
        </w:tc>
        <w:tc>
          <w:tcPr>
            <w:tcW w:w="2795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检索应使用多少？</w:t>
            </w:r>
          </w:p>
        </w:tc>
        <w:tc>
          <w:tcPr>
            <w:tcW w:w="5591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根据输入与预测一致性，校准历史修正的可靠性</w:t>
            </w:r>
          </w:p>
        </w:tc>
      </w:tr>
      <w:tr>
        <w:trPr>
          <w:cantSplit/>
        </w:trPr>
        <w:tc>
          <w:tcPr>
            <w:tcW w:w="1252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C</w:t>
            </w:r>
          </w:p>
        </w:tc>
        <w:tc>
          <w:tcPr>
            <w:tcW w:w="2795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怎样学会正确检索？</w:t>
            </w:r>
          </w:p>
        </w:tc>
        <w:tc>
          <w:tcPr>
            <w:tcW w:w="5591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同相位、相似未来状态的正例与困难负例监督</w:t>
            </w:r>
          </w:p>
        </w:tc>
      </w:tr>
    </w:tbl>
    <w:p>
      <w:pPr>
        <w:pStyle w:val="TableAfter"/>
      </w:pP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研究视角以检索为中心：不只是增加频率或尺度，而是让当前样本决定历史候选、候选权重和拒绝程度。A/B/C 均保留独立开关；暂时无效的模块保留代码、负结果和下一版方案。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原始设想与当前实现需要分开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初始 A 是多个独立周期 Q，分别负责短、中、长周期；B 是特征残差门控；C 是“同周期位置 + 类似状态”的对比学习。当前版本已经改为真实训练历史 continuation 的预测校正，具体差异见后续三页。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  <w:b/>
        </w:rPr>
        <w:t xml:space="preserve">当前可支持：</w:t>
      </w:r>
      <w:r>
        <w:rPr>
          <w:rFonts w:ascii="Liberation Sans" w:hAnsi="Liberation Sans" w:eastAsia="WenQuanYi Micro Hei"/>
          <w:lang w:val="en-US" w:eastAsia="zh-CN"/>
        </w:rPr>
        <w:t xml:space="preserve"> ETTh1 单 seed 中，真实历史检索带来小幅正向结果。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  <w:b/>
        </w:rPr>
        <w:t xml:space="preserve">尚待支持：</w:t>
      </w:r>
      <w:r>
        <w:rPr>
          <w:rFonts w:ascii="Liberation Sans" w:hAnsi="Liberation Sans" w:eastAsia="WenQuanYi Micro Hei"/>
          <w:lang w:val="en-US" w:eastAsia="zh-CN"/>
        </w:rPr>
        <w:t xml:space="preserve"> B/C 独立收益；新版 Solar 泛化；多 seed 稳定性；真正独立长周期建模；更强对照下的优势。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面向投稿的判断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目标是至少形成两个可解释、可独立验证的贡献，但创新点数量不保证任何 CCF 会议录用。投稿论证应建立在方法区别、同协议收益、统计稳定性、机制证据和资源代价上；本阶段以实验质量和最快有效迭代为优先。</w:t>
      </w:r>
    </w:p>
    <w:p>
      <w:pPr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03 官方复现与固定协议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原始仓库：</w:t>
      </w:r>
      <w:hyperlink r:id="link1">
        <w:r>
          <w:rPr>
            <w:rFonts w:ascii="Liberation Sans" w:hAnsi="Liberation Sans" w:eastAsia="WenQuanYi Micro Hei"/>
            <w:lang w:val="en-US" w:eastAsia="zh-CN"/>
            <w:color w:val="17798A"/>
          </w:rPr>
          <w:t xml:space="preserve">GTR 官方代码</w:t>
        </w:r>
      </w:hyperlink>
      <w:r>
        <w:rPr>
          <w:rFonts w:ascii="Liberation Sans" w:hAnsi="Liberation Sans" w:eastAsia="WenQuanYi Micro Hei"/>
          <w:lang w:val="en-US" w:eastAsia="zh-CN"/>
        </w:rPr>
        <w:t xml:space="preserve">。官方源文件、原始入口和配置保留；创新位于新增文件，关闭模块可恢复原 GTR。</w:t>
      </w:r>
    </w:p>
    <w:tbl>
      <w:tblPr>
        <w:tblW w:w="9638" w:type="dxa"/>
        <w:tblLayout w:type="fixed"/>
        <w:tblCellMar>
          <w:top w:w="65" w:type="dxa"/>
          <w:bottom w:w="65" w:type="dxa"/>
          <w:left w:w="105" w:type="dxa"/>
          <w:right w:w="105" w:type="dxa"/>
        </w:tblCellMar>
        <w:tblBorders>
          <w:top w:val="single" w:sz="4" w:color="D5DFE8"/>
          <w:left w:val="single" w:sz="4" w:color="D5DFE8"/>
          <w:bottom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3469"/>
        <w:gridCol w:w="3084"/>
        <w:gridCol w:w="3085"/>
      </w:tblGrid>
      <w:tr>
        <w:trPr>
          <w:cantSplit/>
          <w:tblHeader/>
        </w:trPr>
        <w:tc>
          <w:tcPr>
            <w:tcW w:w="3469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主要设置</w:t>
            </w:r>
          </w:p>
        </w:tc>
        <w:tc>
          <w:tcPr>
            <w:tcW w:w="3084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ETTh1</w:t>
            </w:r>
          </w:p>
        </w:tc>
        <w:tc>
          <w:tcPr>
            <w:tcW w:w="3085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Solar</w:t>
            </w:r>
          </w:p>
        </w:tc>
      </w:tr>
      <w:tr>
        <w:trPr>
          <w:cantSplit/>
        </w:trPr>
        <w:tc>
          <w:tcPr>
            <w:tcW w:w="346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输入 T / 预测 H / seed</w:t>
            </w:r>
          </w:p>
        </w:tc>
        <w:tc>
          <w:tcPr>
            <w:tcW w:w="3084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96 / 96 / 2024</w:t>
            </w:r>
          </w:p>
        </w:tc>
        <w:tc>
          <w:tcPr>
            <w:tcW w:w="3085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96 / 96 / 2024</w:t>
            </w:r>
          </w:p>
        </w:tc>
      </w:tr>
      <w:tr>
        <w:trPr>
          <w:cantSplit/>
        </w:trPr>
        <w:tc>
          <w:tcPr>
            <w:tcW w:w="346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基础周期 / batch</w:t>
            </w:r>
          </w:p>
        </w:tc>
        <w:tc>
          <w:tcPr>
            <w:tcW w:w="3084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24 / 256</w:t>
            </w:r>
          </w:p>
        </w:tc>
        <w:tc>
          <w:tcPr>
            <w:tcW w:w="3085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144 / 64</w:t>
            </w:r>
          </w:p>
        </w:tc>
      </w:tr>
      <w:tr>
        <w:trPr>
          <w:cantSplit/>
        </w:trPr>
        <w:tc>
          <w:tcPr>
            <w:tcW w:w="346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配置学习率 / dropout</w:t>
            </w:r>
          </w:p>
        </w:tc>
        <w:tc>
          <w:tcPr>
            <w:tcW w:w="3084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0.001 / 0.5</w:t>
            </w:r>
          </w:p>
        </w:tc>
        <w:tc>
          <w:tcPr>
            <w:tcW w:w="3085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0.003 / 0</w:t>
            </w:r>
          </w:p>
        </w:tc>
      </w:tr>
      <w:tr>
        <w:trPr>
          <w:cantSplit/>
        </w:trPr>
        <w:tc>
          <w:tcPr>
            <w:tcW w:w="346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d_model / RevIN</w:t>
            </w:r>
          </w:p>
        </w:tc>
        <w:tc>
          <w:tcPr>
            <w:tcW w:w="3084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512 / 开启</w:t>
            </w:r>
          </w:p>
        </w:tc>
        <w:tc>
          <w:tcPr>
            <w:tcW w:w="3085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512 / 关闭</w:t>
            </w:r>
          </w:p>
        </w:tc>
      </w:tr>
      <w:tr>
        <w:trPr>
          <w:cantSplit/>
        </w:trPr>
        <w:tc>
          <w:tcPr>
            <w:tcW w:w="346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最大 epoch / patience</w:t>
            </w:r>
          </w:p>
        </w:tc>
        <w:tc>
          <w:tcPr>
            <w:tcW w:w="3084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30 / 5</w:t>
            </w:r>
          </w:p>
        </w:tc>
        <w:tc>
          <w:tcPr>
            <w:tcW w:w="3085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30 / 5</w:t>
            </w:r>
          </w:p>
        </w:tc>
      </w:tr>
      <w:tr>
        <w:trPr>
          <w:cantSplit/>
        </w:trPr>
        <w:tc>
          <w:tcPr>
            <w:tcW w:w="346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优化与损失</w:t>
            </w:r>
          </w:p>
        </w:tc>
        <w:tc>
          <w:tcPr>
            <w:tcW w:w="3084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Adam、MSE、type3</w:t>
            </w:r>
          </w:p>
        </w:tc>
        <w:tc>
          <w:tcPr>
            <w:tcW w:w="3085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Adam、MSE、type3</w:t>
            </w:r>
          </w:p>
        </w:tc>
      </w:tr>
      <w:tr>
        <w:trPr>
          <w:cantSplit/>
        </w:trPr>
        <w:tc>
          <w:tcPr>
            <w:tcW w:w="346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AMP / 梯度累积</w:t>
            </w:r>
          </w:p>
        </w:tc>
        <w:tc>
          <w:tcPr>
            <w:tcW w:w="3084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关闭 / 不使用</w:t>
            </w:r>
          </w:p>
        </w:tc>
        <w:tc>
          <w:tcPr>
            <w:tcW w:w="3085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关闭 / 不使用</w:t>
            </w:r>
          </w:p>
        </w:tc>
      </w:tr>
      <w:tr>
        <w:trPr>
          <w:cantSplit/>
        </w:trPr>
        <w:tc>
          <w:tcPr>
            <w:tcW w:w="346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train / val / test 窗口数</w:t>
            </w:r>
          </w:p>
        </w:tc>
        <w:tc>
          <w:tcPr>
            <w:tcW w:w="3084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8449 / 2785 / 2785</w:t>
            </w:r>
          </w:p>
        </w:tc>
        <w:tc>
          <w:tcPr>
            <w:tcW w:w="3085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36601 / 5161 / 10417</w:t>
            </w:r>
          </w:p>
        </w:tc>
      </w:tr>
    </w:tbl>
    <w:p>
      <w:pPr>
        <w:pStyle w:val="TableAfter"/>
      </w:pP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数据、评估和官方细节</w:t>
      </w:r>
    </w:p>
    <w:p>
      <w:pPr>
        <w:pStyle w:val="Bullet"/>
        <w:ind w:left="220" w:hanging="180"/>
      </w:pPr>
      <w:r>
        <w:rPr>
          <w:rFonts w:ascii="Liberation Sans" w:hAnsi="Liberation Sans" w:eastAsia="WenQuanYi Micro Hei"/>
          <w:lang w:val="en-US" w:eastAsia="zh-CN"/>
        </w:rPr>
        <w:t xml:space="preserve">•  ETTh1 目标分段：[0,8640)、[8640,11520)、[11520,14400)；其余末尾数据不擅自加入。</w:t>
      </w:r>
    </w:p>
    <w:p>
      <w:pPr>
        <w:pStyle w:val="Bullet"/>
        <w:ind w:left="220" w:hanging="180"/>
      </w:pPr>
      <w:r>
        <w:rPr>
          <w:rFonts w:ascii="Liberation Sans" w:hAnsi="Liberation Sans" w:eastAsia="WenQuanYi Micro Hei"/>
          <w:lang w:val="en-US" w:eastAsia="zh-CN"/>
        </w:rPr>
        <w:t xml:space="preserve">•  Solar 目标分段：[0,36792)、[36792,42048)、[42048,52560)。验证和测试输入携带前段 96 步上下文。</w:t>
      </w:r>
    </w:p>
    <w:p>
      <w:pPr>
        <w:pStyle w:val="Bullet"/>
        <w:ind w:left="220" w:hanging="180"/>
      </w:pPr>
      <w:r>
        <w:rPr>
          <w:rFonts w:ascii="Liberation Sans" w:hAnsi="Liberation Sans" w:eastAsia="WenQuanYi Micro Hei"/>
          <w:lang w:val="en-US" w:eastAsia="zh-CN"/>
        </w:rPr>
        <w:t xml:space="preserve">•  StandardScaler 只在训练段拟合；MSE/MAE 在官方标准化空间计算，不混入逆变换指标。</w:t>
      </w:r>
    </w:p>
    <w:p>
      <w:pPr>
        <w:pStyle w:val="Bullet"/>
        <w:ind w:left="220" w:hanging="180"/>
      </w:pPr>
      <w:r>
        <w:rPr>
          <w:rFonts w:ascii="Liberation Sans" w:hAnsi="Liberation Sans" w:eastAsia="WenQuanYi Micro Hei"/>
          <w:lang w:val="en-US" w:eastAsia="zh-CN"/>
        </w:rPr>
        <w:t xml:space="preserve">•  train/val 均 shuffle、drop_last；test 两项关闭。最佳 checkpoint 按官方验证早停选择。</w:t>
      </w:r>
    </w:p>
    <w:p>
      <w:pPr>
        <w:pStyle w:val="Bullet"/>
        <w:ind w:left="220" w:hanging="180"/>
      </w:pPr>
      <w:r>
        <w:rPr>
          <w:rFonts w:ascii="Liberation Sans" w:hAnsi="Liberation Sans" w:eastAsia="WenQuanYi Micro Hei"/>
          <w:lang w:val="en-US" w:eastAsia="zh-CN"/>
        </w:rPr>
        <w:t xml:space="preserve">•  OneCycleLR 初始化把首轮学习率设为配置值 / 25；默认 type3 不 step 该对象。保持官方行为，不能只按配置字面值理解首轮 LR。</w:t>
      </w:r>
    </w:p>
    <w:p>
      <w:pPr>
        <w:pStyle w:val="Bullet"/>
        <w:ind w:left="220" w:hanging="180"/>
      </w:pPr>
      <w:r>
        <w:rPr>
          <w:rFonts w:ascii="Liberation Sans" w:hAnsi="Liberation Sans" w:eastAsia="WenQuanYi Micro Hei"/>
          <w:lang w:val="en-US" w:eastAsia="zh-CN"/>
        </w:rPr>
        <w:t xml:space="preserve">•  相位锚点实际是预测起点。新模块使用绝对起点，同时逐样本核对其基础周期余数与官方一致。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同预算指同最大训练预算、优化设置和早停规则；实际早停 epoch 可以不同，必须记录。当前任务是完整观测预测，没有缺失 mask 或 missing rate。</w:t>
      </w:r>
    </w:p>
    <w:p>
      <w:pPr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04 A：多周期历史记忆与检索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v4/v5 的实际检索对象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训练段形成不可变历史库，每条记录包含观察窗、输入键和已经发生的后续 H 步。对当前预测起点 t，仅允许历史起点 j 满足 </w:t>
      </w:r>
      <w:r>
        <w:rPr>
          <w:rFonts w:ascii="DejaVu Sans Mono" w:hAnsi="DejaVu Sans Mono" w:eastAsia="WenQuanYi Micro Hei"/>
          <w:lang w:val="en-US" w:eastAsia="zh-CN"/>
          <w:sz w:val="17"/>
          <w:shd w:fill="EEF3F7" w:val="clear"/>
        </w:rPr>
        <w:t xml:space="preserve">j + H &lt;= t</w:t>
      </w:r>
      <w:r>
        <w:rPr>
          <w:rFonts w:ascii="Liberation Sans" w:hAnsi="Liberation Sans" w:eastAsia="WenQuanYi Micro Hei"/>
          <w:lang w:val="en-US" w:eastAsia="zh-CN"/>
        </w:rPr>
        <w:t xml:space="preserve">，并匹配 </w:t>
      </w:r>
      <w:r>
        <w:rPr>
          <w:rFonts w:ascii="DejaVu Sans Mono" w:hAnsi="DejaVu Sans Mono" w:eastAsia="WenQuanYi Micro Hei"/>
          <w:lang w:val="en-US" w:eastAsia="zh-CN"/>
          <w:sz w:val="17"/>
          <w:shd w:fill="EEF3F7" w:val="clear"/>
        </w:rPr>
        <w:t xml:space="preserve">j mod P = t mod P</w:t>
      </w:r>
      <w:r>
        <w:rPr>
          <w:rFonts w:ascii="Liberation Sans" w:hAnsi="Liberation Sans" w:eastAsia="WenQuanYi Micro Hei"/>
          <w:lang w:val="en-US" w:eastAsia="zh-CN"/>
        </w:rPr>
        <w:t xml:space="preserve">；P 是官方基础周期。验证、测试数据永不写入该库。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候选按相对历史年龄分成短、中、长三档，各最多 64 条，总候选不超过 192。每档均匀覆盖可用历史，再按每通道的状态距离检索。</w:t>
      </w:r>
    </w:p>
    <w:p>
      <w:pPr>
        <w:pStyle w:val="Callout"/>
      </w:pPr>
      <w:r>
        <w:rPr>
          <w:rFonts w:ascii="Liberation Sans" w:hAnsi="Liberation Sans" w:eastAsia="WenQuanYi Micro Hei"/>
          <w:lang w:val="en-US" w:eastAsia="zh-CN"/>
        </w:rPr>
        <w:t xml:space="preserve">当前三库是“同基础相位、不同历史周期年龄”的记忆。配置中的 [24,168,720] 或 [144,1008,4320] 保留来源和库数量，当前并未分别按三个周期取模。不能把这一步写成已经证明日、周、月独立周期建模。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键、值与训练路径</w:t>
      </w:r>
    </w:p>
    <w:p>
      <w:pPr>
        <w:pStyle w:val="Bullet"/>
        <w:ind w:left="220" w:hanging="180"/>
      </w:pPr>
      <w:r>
        <w:rPr>
          <w:rFonts w:ascii="Liberation Sans" w:hAnsi="Liberation Sans" w:eastAsia="WenQuanYi Micro Hei"/>
          <w:lang w:val="en-US" w:eastAsia="zh-CN"/>
        </w:rPr>
        <w:t xml:space="preserve">•  15 维输入键：训练统计标准化的均值、log 标准差、趋势，加 12 个局部归一化形状分箱；局部 std 下限 0.1。</w:t>
      </w:r>
    </w:p>
    <w:p>
      <w:pPr>
        <w:pStyle w:val="Bullet"/>
        <w:ind w:left="220" w:hanging="180"/>
      </w:pPr>
      <w:r>
        <w:rPr>
          <w:rFonts w:ascii="Liberation Sans" w:hAnsi="Liberation Sans" w:eastAsia="WenQuanYi Micro Hei"/>
          <w:lang w:val="en-US" w:eastAsia="zh-CN"/>
        </w:rPr>
        <w:t xml:space="preserve">•  残差键编码器为 15→16→15，末层零初始化，使初始检索距离与验证诊断一致。</w:t>
      </w:r>
    </w:p>
    <w:p>
      <w:pPr>
        <w:pStyle w:val="Bullet"/>
        <w:ind w:left="220" w:hanging="180"/>
      </w:pPr>
      <w:r>
        <w:rPr>
          <w:rFonts w:ascii="Liberation Sans" w:hAnsi="Liberation Sans" w:eastAsia="WenQuanYi Micro Hei"/>
          <w:lang w:val="en-US" w:eastAsia="zh-CN"/>
        </w:rPr>
        <w:t xml:space="preserve">•  实际距离为平方欧氏距离；全局 top 3 后按逆距离和库 prior 加权。</w:t>
      </w:r>
    </w:p>
    <w:p>
      <w:pPr>
        <w:pStyle w:val="Bullet"/>
        <w:ind w:left="220" w:hanging="180"/>
      </w:pPr>
      <w:r>
        <w:rPr>
          <w:rFonts w:ascii="Liberation Sans" w:hAnsi="Liberation Sans" w:eastAsia="WenQuanYi Micro Hei"/>
          <w:lang w:val="en-US" w:eastAsia="zh-CN"/>
        </w:rPr>
        <w:t xml:space="preserve">•  历史未来先用候选观察窗归一化，再用当前观察窗的均值/尺度还原；只使用预测时可见输入。</w:t>
      </w:r>
    </w:p>
    <w:p>
      <w:pPr>
        <w:pStyle w:val="Bullet"/>
        <w:ind w:left="220" w:hanging="180"/>
      </w:pPr>
      <w:r>
        <w:rPr>
          <w:rFonts w:ascii="Liberation Sans" w:hAnsi="Liberation Sans" w:eastAsia="WenQuanYi Micro Hei"/>
          <w:lang w:val="en-US" w:eastAsia="zh-CN"/>
        </w:rPr>
        <w:t xml:space="preserve">•  路由为样本/通道条件化；C 直接训练同一检索键编码器。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当前限制与下一版</w:t>
      </w:r>
    </w:p>
    <w:p>
      <w:pPr>
        <w:pStyle w:val="Normal"/>
      </w:pPr>
      <w:r>
        <w:rPr>
          <w:rFonts w:ascii="DejaVu Sans Mono" w:hAnsi="DejaVu Sans Mono" w:eastAsia="WenQuanYi Micro Hei"/>
          <w:lang w:val="en-US" w:eastAsia="zh-CN"/>
          <w:sz w:val="17"/>
          <w:shd w:fill="EEF3F7" w:val="clear"/>
        </w:rPr>
        <w:t xml:space="preserve">global_topk</w:t>
      </w:r>
      <w:r>
        <w:rPr>
          <w:rFonts w:ascii="Liberation Sans" w:hAnsi="Liberation Sans" w:eastAsia="WenQuanYi Micro Hei"/>
          <w:lang w:val="en-US" w:eastAsia="zh-CN"/>
        </w:rPr>
        <w:t xml:space="preserve"> 先选候选再调库权重；若 top 3 全来自一个库，库 prior 在归一化中抵消，无法换入被排除的库。已实现的 </w:t>
      </w:r>
      <w:r>
        <w:rPr>
          <w:rFonts w:ascii="DejaVu Sans Mono" w:hAnsi="DejaVu Sans Mono" w:eastAsia="WenQuanYi Micro Hei"/>
          <w:lang w:val="en-US" w:eastAsia="zh-CN"/>
          <w:sz w:val="17"/>
          <w:shd w:fill="EEF3F7" w:val="clear"/>
        </w:rPr>
        <w:t xml:space="preserve">per_bank</w:t>
      </w:r>
      <w:r>
        <w:rPr>
          <w:rFonts w:ascii="Liberation Sans" w:hAnsi="Liberation Sans" w:eastAsia="WenQuanYi Micro Hei"/>
          <w:lang w:val="en-US" w:eastAsia="zh-CN"/>
        </w:rPr>
        <w:t xml:space="preserve"> 则每库各取 top 3，再连续混合；有正确性和梯度检查，尚无正式结果。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后续先单因素验证逐库路由。如果论文要主张独立多周期建模，还需实现真正不同周期的候选规则，并与当前历史年龄库比较。此为保留原创新范围的后续验证，不是现有事实。</w:t>
      </w:r>
    </w:p>
    <w:p>
      <w:pPr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05 B：可靠性门控与收益校准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当前预测融合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原 GTR 产生预测 y_base，历史库产生 y_hist；门控 g 为每样本/通道一个标量，在预测步之间共享。v5 的修正为：</w:t>
      </w:r>
    </w:p>
    <w:p>
      <w:pPr>
        <w:pStyle w:val="Normal"/>
      </w:pPr>
      <w:r>
        <w:rPr>
          <w:rFonts w:ascii="DejaVu Sans Mono" w:hAnsi="DejaVu Sans Mono" w:eastAsia="WenQuanYi Micro Hei"/>
          <w:lang w:val="en-US" w:eastAsia="zh-CN"/>
          <w:sz w:val="17"/>
          <w:shd w:fill="EEF3F7" w:val="clear"/>
        </w:rPr>
        <w:t xml:space="preserve">s = 0.2 * tanh(a / 0.2)</w:t>
      </w:r>
    </w:p>
    <w:p>
      <w:pPr>
        <w:pStyle w:val="Normal"/>
      </w:pPr>
      <w:r>
        <w:rPr>
          <w:rFonts w:ascii="DejaVu Sans Mono" w:hAnsi="DejaVu Sans Mono" w:eastAsia="WenQuanYi Micro Hei"/>
          <w:lang w:val="en-US" w:eastAsia="zh-CN"/>
          <w:sz w:val="17"/>
          <w:shd w:fill="EEF3F7" w:val="clear"/>
        </w:rPr>
        <w:t xml:space="preserve">y = y_base + s * g * (y_hist - y_base)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关闭 B 时 g=1；没有有效历史时直接输出 y_base。a 零初始化，初始预测和原模型随机流精确一致。s 允许有符号校正，不能无条件称为凸混合；其范围限制了修正幅度。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门控输入与训练监督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输入由当前观察窗统计、两路预测的 cosine 一致性、修正相对幅度和差异组成。描述符中的预测分支 detach，避免门控通过描述符改造专家。未来标签仅用于训练期最优混合系数：</w:t>
      </w:r>
    </w:p>
    <w:p>
      <w:pPr>
        <w:pStyle w:val="Normal"/>
      </w:pPr>
      <w:r>
        <w:rPr>
          <w:rFonts w:ascii="DejaVu Sans Mono" w:hAnsi="DejaVu Sans Mono" w:eastAsia="WenQuanYi Micro Hei"/>
          <w:lang w:val="en-US" w:eastAsia="zh-CN"/>
          <w:sz w:val="17"/>
          <w:shd w:fill="EEF3F7" w:val="clear"/>
        </w:rPr>
        <w:t xml:space="preserve">delta = s * (y_hist - y_base)</w:t>
      </w:r>
    </w:p>
    <w:p>
      <w:pPr>
        <w:pStyle w:val="Normal"/>
      </w:pPr>
      <w:r>
        <w:rPr>
          <w:rFonts w:ascii="DejaVu Sans Mono" w:hAnsi="DejaVu Sans Mono" w:eastAsia="WenQuanYi Micro Hei"/>
          <w:lang w:val="en-US" w:eastAsia="zh-CN"/>
          <w:sz w:val="17"/>
          <w:shd w:fill="EEF3F7" w:val="clear"/>
        </w:rPr>
        <w:t xml:space="preserve">g_star = clip(&lt;Y-y_base, delta&gt; / (||delta||^2 + eps), 0, 1)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g_star stop-gradient；校准损失按修正能量加权，系数 0.05。验证与测试仍使用纯 MSE，不使用门控 oracle。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需要证据支持的性质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g=0 回到当前共同训练的 GTR 分支，不能保证等于已经完成的 baseline checkpoint，也不能保证训练后“不伤 baseline”。已验证的是初始行为等价、推理不读未来和结构上的拒绝能力。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v5 加 B 后整体弱于 A5。下一步比较动态门控与固定门控，检查门控是否只是缩小有效修正；记录 oracle 标签分布、gate 饱和、校准误差和各库预测分歧。候选距离或库间分歧可作为后续可靠性输入，但一次只验证一个改动。</w:t>
      </w:r>
    </w:p>
    <w:p>
      <w:pPr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06 C：状态对比检索学习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正例与困难负例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使用训练目标的未来平均水平和趋势构造 regime；先减去观察窗水平，再除以观察窗尺度。候选必须同基础相位、因果可用，并与当前完整输入/目标窗口不重叠：</w:t>
      </w:r>
      <w:r>
        <w:rPr>
          <w:rFonts w:ascii="DejaVu Sans Mono" w:hAnsi="DejaVu Sans Mono" w:eastAsia="WenQuanYi Micro Hei"/>
          <w:lang w:val="en-US" w:eastAsia="zh-CN"/>
          <w:sz w:val="17"/>
          <w:shd w:fill="EEF3F7" w:val="clear"/>
        </w:rPr>
        <w:t xml:space="preserve">t-j &gt;= T+H</w:t>
      </w:r>
      <w:r>
        <w:rPr>
          <w:rFonts w:ascii="Liberation Sans" w:hAnsi="Liberation Sans" w:eastAsia="WenQuanYi Micro Hei"/>
          <w:lang w:val="en-US" w:eastAsia="zh-CN"/>
        </w:rPr>
        <w:t xml:space="preserve">。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在这些历史候选中，未来 regime 最近者作为正例，最远者作为困难负例；要求至少两个候选、正例足够相似、正负距离有区分。这样监督的不只是“同一时刻”，还包括“状态相似”。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当前损失与实现边界</w:t>
      </w:r>
    </w:p>
    <w:p>
      <w:pPr>
        <w:pStyle w:val="Normal"/>
      </w:pPr>
      <w:r>
        <w:rPr>
          <w:rFonts w:ascii="DejaVu Sans Mono" w:hAnsi="DejaVu Sans Mono" w:eastAsia="WenQuanYi Micro Hei"/>
          <w:lang w:val="en-US" w:eastAsia="zh-CN"/>
          <w:sz w:val="17"/>
          <w:shd w:fill="EEF3F7" w:val="clear"/>
        </w:rPr>
        <w:t xml:space="preserve">L_train = L_forecast + 0.05 * L_gate + 0.002 * L_contrast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其中关闭的模块不保留对应 loss。对比温度为 0.1；v5 默认 cosine 正负 logits。query 未来只在训练 criterion 中读取；验证、测试和预测前向不接收 query 的未来。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历史候选及其已发生 continuation 来自固定训练段。与缓存过时 embedding 的队列不同，当前候选键在前向中使用同一编码器重新计算，因此恢复不需要动态跨 batch 缓存。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已解决的问题与未解决的问题</w:t>
      </w:r>
    </w:p>
    <w:p>
      <w:pPr>
        <w:pStyle w:val="Bullet"/>
        <w:ind w:left="220" w:hanging="180"/>
      </w:pPr>
      <w:r>
        <w:rPr>
          <w:rFonts w:ascii="Liberation Sans" w:hAnsi="Liberation Sans" w:eastAsia="WenQuanYi Micro Hei"/>
          <w:lang w:val="en-US" w:eastAsia="zh-CN"/>
        </w:rPr>
        <w:t xml:space="preserve">•  旧版 batch 内同相位候选在 Solar 的有效 anchor 仅约 3.55%；真实历史库使 ETTh1 ABC4/ABC5 的有效率约 93.66%。</w:t>
      </w:r>
    </w:p>
    <w:p>
      <w:pPr>
        <w:pStyle w:val="Bullet"/>
        <w:ind w:left="220" w:hanging="180"/>
      </w:pPr>
      <w:r>
        <w:rPr>
          <w:rFonts w:ascii="Liberation Sans" w:hAnsi="Liberation Sans" w:eastAsia="WenQuanYi Micro Hei"/>
          <w:lang w:val="en-US" w:eastAsia="zh-CN"/>
        </w:rPr>
        <w:t xml:space="preserve">•  有效 anchor 多只说明监督可用，不证明预测有效。C 在 AB5 背景下有小幅改善，但仍缺 AC5 对照。</w:t>
      </w:r>
    </w:p>
    <w:p>
      <w:pPr>
        <w:pStyle w:val="Bullet"/>
        <w:ind w:left="220" w:hanging="180"/>
      </w:pPr>
      <w:r>
        <w:rPr>
          <w:rFonts w:ascii="Liberation Sans" w:hAnsi="Liberation Sans" w:eastAsia="WenQuanYi Micro Hei"/>
          <w:lang w:val="en-US" w:eastAsia="zh-CN"/>
        </w:rPr>
        <w:t xml:space="preserve">•  实际检索是欧氏距离，v5 对比是 cosine，几何不一致。</w:t>
      </w:r>
      <w:r>
        <w:rPr>
          <w:rFonts w:ascii="DejaVu Sans Mono" w:hAnsi="DejaVu Sans Mono" w:eastAsia="WenQuanYi Micro Hei"/>
          <w:lang w:val="en-US" w:eastAsia="zh-CN"/>
          <w:sz w:val="17"/>
          <w:shd w:fill="EEF3F7" w:val="clear"/>
        </w:rPr>
        <w:t xml:space="preserve">contrast_metric='euclidean'</w:t>
      </w:r>
      <w:r>
        <w:rPr>
          <w:rFonts w:ascii="Liberation Sans" w:hAnsi="Liberation Sans" w:eastAsia="WenQuanYi Micro Hei"/>
          <w:lang w:val="en-US" w:eastAsia="zh-CN"/>
        </w:rPr>
        <w:t xml:space="preserve"> 已具备开关，未正式验证。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后续先补同版本 AC，再单独验证度量一致性。诊断主损失与辅助损失的编码器梯度大小和方向；不以对比 loss 下降代替检索质量或预测收益。</w:t>
      </w:r>
    </w:p>
    <w:p>
      <w:pPr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07 版本演进与负结果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以下为已完成正式测试结果，均 T96/H96、seed 2024。MSE/MAE 越小越好；保留全部方向，避免只展示最好一次。</w:t>
      </w:r>
    </w:p>
    <w:tbl>
      <w:tblPr>
        <w:tblW w:w="9638" w:type="dxa"/>
        <w:tblLayout w:type="fixed"/>
        <w:tblCellMar>
          <w:top w:w="65" w:type="dxa"/>
          <w:bottom w:w="65" w:type="dxa"/>
          <w:left w:w="105" w:type="dxa"/>
          <w:right w:w="105" w:type="dxa"/>
        </w:tblCellMar>
        <w:tblBorders>
          <w:top w:val="single" w:sz="4" w:color="D5DFE8"/>
          <w:left w:val="single" w:sz="4" w:color="D5DFE8"/>
          <w:bottom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1542"/>
        <w:gridCol w:w="1445"/>
        <w:gridCol w:w="1831"/>
        <w:gridCol w:w="1831"/>
        <w:gridCol w:w="2989"/>
      </w:tblGrid>
      <w:tr>
        <w:trPr>
          <w:cantSplit/>
          <w:tblHeader/>
        </w:trPr>
        <w:tc>
          <w:tcPr>
            <w:tcW w:w="1542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数据</w:t>
            </w:r>
          </w:p>
        </w:tc>
        <w:tc>
          <w:tcPr>
            <w:tcW w:w="1445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版本</w:t>
            </w:r>
          </w:p>
        </w:tc>
        <w:tc>
          <w:tcPr>
            <w:tcW w:w="1831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MSE</w:t>
            </w:r>
          </w:p>
        </w:tc>
        <w:tc>
          <w:tcPr>
            <w:tcW w:w="1831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MAE</w:t>
            </w:r>
          </w:p>
        </w:tc>
        <w:tc>
          <w:tcPr>
            <w:tcW w:w="2989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判断</w:t>
            </w:r>
          </w:p>
        </w:tc>
      </w:tr>
      <w:tr>
        <w:trPr>
          <w:cantSplit/>
        </w:trPr>
        <w:tc>
          <w:tcPr>
            <w:tcW w:w="1542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ETTh1</w:t>
            </w:r>
          </w:p>
        </w:tc>
        <w:tc>
          <w:tcPr>
            <w:tcW w:w="1445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B1</w:t>
            </w:r>
          </w:p>
        </w:tc>
        <w:tc>
          <w:tcPr>
            <w:tcW w:w="1831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0.367499</w:t>
            </w:r>
          </w:p>
        </w:tc>
        <w:tc>
          <w:tcPr>
            <w:tcW w:w="1831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0.392714</w:t>
            </w:r>
          </w:p>
        </w:tc>
        <w:tc>
          <w:tcPr>
            <w:tcW w:w="298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MSE 降、MAE 微升；RNG 变化</w:t>
            </w:r>
          </w:p>
        </w:tc>
      </w:tr>
      <w:tr>
        <w:trPr>
          <w:cantSplit/>
        </w:trPr>
        <w:tc>
          <w:tcPr>
            <w:tcW w:w="1542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ETTh1</w:t>
            </w:r>
          </w:p>
        </w:tc>
        <w:tc>
          <w:tcPr>
            <w:tcW w:w="1445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A1</w:t>
            </w:r>
          </w:p>
        </w:tc>
        <w:tc>
          <w:tcPr>
            <w:tcW w:w="1831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0.378976</w:t>
            </w:r>
          </w:p>
        </w:tc>
        <w:tc>
          <w:tcPr>
            <w:tcW w:w="1831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0.399294</w:t>
            </w:r>
          </w:p>
        </w:tc>
        <w:tc>
          <w:tcPr>
            <w:tcW w:w="298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独立周期表无增益</w:t>
            </w:r>
          </w:p>
        </w:tc>
      </w:tr>
      <w:tr>
        <w:trPr>
          <w:cantSplit/>
        </w:trPr>
        <w:tc>
          <w:tcPr>
            <w:tcW w:w="1542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ETTh1</w:t>
            </w:r>
          </w:p>
        </w:tc>
        <w:tc>
          <w:tcPr>
            <w:tcW w:w="1445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AC1</w:t>
            </w:r>
          </w:p>
        </w:tc>
        <w:tc>
          <w:tcPr>
            <w:tcW w:w="1831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0.380971</w:t>
            </w:r>
          </w:p>
        </w:tc>
        <w:tc>
          <w:tcPr>
            <w:tcW w:w="1831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0.397571</w:t>
            </w:r>
          </w:p>
        </w:tc>
        <w:tc>
          <w:tcPr>
            <w:tcW w:w="298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联用仍退化</w:t>
            </w:r>
          </w:p>
        </w:tc>
      </w:tr>
      <w:tr>
        <w:trPr>
          <w:cantSplit/>
        </w:trPr>
        <w:tc>
          <w:tcPr>
            <w:tcW w:w="1542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ETTh1</w:t>
            </w:r>
          </w:p>
        </w:tc>
        <w:tc>
          <w:tcPr>
            <w:tcW w:w="1445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ABC1</w:t>
            </w:r>
          </w:p>
        </w:tc>
        <w:tc>
          <w:tcPr>
            <w:tcW w:w="1831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0.380605</w:t>
            </w:r>
          </w:p>
        </w:tc>
        <w:tc>
          <w:tcPr>
            <w:tcW w:w="1831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0.393895</w:t>
            </w:r>
          </w:p>
        </w:tc>
        <w:tc>
          <w:tcPr>
            <w:tcW w:w="298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联用仍退化</w:t>
            </w:r>
          </w:p>
        </w:tc>
      </w:tr>
      <w:tr>
        <w:trPr>
          <w:cantSplit/>
        </w:trPr>
        <w:tc>
          <w:tcPr>
            <w:tcW w:w="1542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ETTh1</w:t>
            </w:r>
          </w:p>
        </w:tc>
        <w:tc>
          <w:tcPr>
            <w:tcW w:w="1445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B2</w:t>
            </w:r>
          </w:p>
        </w:tc>
        <w:tc>
          <w:tcPr>
            <w:tcW w:w="1831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0.369723</w:t>
            </w:r>
          </w:p>
        </w:tc>
        <w:tc>
          <w:tcPr>
            <w:tcW w:w="1831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0.393385</w:t>
            </w:r>
          </w:p>
        </w:tc>
        <w:tc>
          <w:tcPr>
            <w:tcW w:w="298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保持 RNG 后不增</w:t>
            </w:r>
          </w:p>
        </w:tc>
      </w:tr>
      <w:tr>
        <w:trPr>
          <w:cantSplit/>
        </w:trPr>
        <w:tc>
          <w:tcPr>
            <w:tcW w:w="1542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ETTh1</w:t>
            </w:r>
          </w:p>
        </w:tc>
        <w:tc>
          <w:tcPr>
            <w:tcW w:w="1445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A2</w:t>
            </w:r>
          </w:p>
        </w:tc>
        <w:tc>
          <w:tcPr>
            <w:tcW w:w="1831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0.383216</w:t>
            </w:r>
          </w:p>
        </w:tc>
        <w:tc>
          <w:tcPr>
            <w:tcW w:w="1831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0.396112</w:t>
            </w:r>
          </w:p>
        </w:tc>
        <w:tc>
          <w:tcPr>
            <w:tcW w:w="298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中心化残差仍过拟合</w:t>
            </w:r>
          </w:p>
        </w:tc>
      </w:tr>
      <w:tr>
        <w:trPr>
          <w:cantSplit/>
        </w:trPr>
        <w:tc>
          <w:tcPr>
            <w:tcW w:w="1542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ETTh1</w:t>
            </w:r>
          </w:p>
        </w:tc>
        <w:tc>
          <w:tcPr>
            <w:tcW w:w="1445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AC2</w:t>
            </w:r>
          </w:p>
        </w:tc>
        <w:tc>
          <w:tcPr>
            <w:tcW w:w="1831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0.383070</w:t>
            </w:r>
          </w:p>
        </w:tc>
        <w:tc>
          <w:tcPr>
            <w:tcW w:w="1831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0.395522</w:t>
            </w:r>
          </w:p>
        </w:tc>
        <w:tc>
          <w:tcPr>
            <w:tcW w:w="298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联用仍退化</w:t>
            </w:r>
          </w:p>
        </w:tc>
      </w:tr>
      <w:tr>
        <w:trPr>
          <w:cantSplit/>
        </w:trPr>
        <w:tc>
          <w:tcPr>
            <w:tcW w:w="1542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ETTh1</w:t>
            </w:r>
          </w:p>
        </w:tc>
        <w:tc>
          <w:tcPr>
            <w:tcW w:w="1445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ABC2</w:t>
            </w:r>
          </w:p>
        </w:tc>
        <w:tc>
          <w:tcPr>
            <w:tcW w:w="1831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0.383095</w:t>
            </w:r>
          </w:p>
        </w:tc>
        <w:tc>
          <w:tcPr>
            <w:tcW w:w="1831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0.395404</w:t>
            </w:r>
          </w:p>
        </w:tc>
        <w:tc>
          <w:tcPr>
            <w:tcW w:w="298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联用仍退化</w:t>
            </w:r>
          </w:p>
        </w:tc>
      </w:tr>
      <w:tr>
        <w:trPr>
          <w:cantSplit/>
        </w:trPr>
        <w:tc>
          <w:tcPr>
            <w:tcW w:w="1542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ETTh1</w:t>
            </w:r>
          </w:p>
        </w:tc>
        <w:tc>
          <w:tcPr>
            <w:tcW w:w="1445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B3</w:t>
            </w:r>
          </w:p>
        </w:tc>
        <w:tc>
          <w:tcPr>
            <w:tcW w:w="1831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0.370675</w:t>
            </w:r>
          </w:p>
        </w:tc>
        <w:tc>
          <w:tcPr>
            <w:tcW w:w="1831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0.393581</w:t>
            </w:r>
          </w:p>
        </w:tc>
        <w:tc>
          <w:tcPr>
            <w:tcW w:w="298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预测一致性门控未增</w:t>
            </w:r>
          </w:p>
        </w:tc>
      </w:tr>
      <w:tr>
        <w:trPr>
          <w:cantSplit/>
        </w:trPr>
        <w:tc>
          <w:tcPr>
            <w:tcW w:w="1542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ETTh1</w:t>
            </w:r>
          </w:p>
        </w:tc>
        <w:tc>
          <w:tcPr>
            <w:tcW w:w="1445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A3</w:t>
            </w:r>
          </w:p>
        </w:tc>
        <w:tc>
          <w:tcPr>
            <w:tcW w:w="1831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0.385247</w:t>
            </w:r>
          </w:p>
        </w:tc>
        <w:tc>
          <w:tcPr>
            <w:tcW w:w="1831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0.397886</w:t>
            </w:r>
          </w:p>
        </w:tc>
        <w:tc>
          <w:tcPr>
            <w:tcW w:w="298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因子化降参数仍无效</w:t>
            </w:r>
          </w:p>
        </w:tc>
      </w:tr>
      <w:tr>
        <w:trPr>
          <w:cantSplit/>
        </w:trPr>
        <w:tc>
          <w:tcPr>
            <w:tcW w:w="1542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ETTh1</w:t>
            </w:r>
          </w:p>
        </w:tc>
        <w:tc>
          <w:tcPr>
            <w:tcW w:w="1445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AC3</w:t>
            </w:r>
          </w:p>
        </w:tc>
        <w:tc>
          <w:tcPr>
            <w:tcW w:w="1831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0.385277</w:t>
            </w:r>
          </w:p>
        </w:tc>
        <w:tc>
          <w:tcPr>
            <w:tcW w:w="1831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0.397996</w:t>
            </w:r>
          </w:p>
        </w:tc>
        <w:tc>
          <w:tcPr>
            <w:tcW w:w="298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联用仍退化</w:t>
            </w:r>
          </w:p>
        </w:tc>
      </w:tr>
      <w:tr>
        <w:trPr>
          <w:cantSplit/>
        </w:trPr>
        <w:tc>
          <w:tcPr>
            <w:tcW w:w="1542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ETTh1</w:t>
            </w:r>
          </w:p>
        </w:tc>
        <w:tc>
          <w:tcPr>
            <w:tcW w:w="1445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ABC3</w:t>
            </w:r>
          </w:p>
        </w:tc>
        <w:tc>
          <w:tcPr>
            <w:tcW w:w="1831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0.385066</w:t>
            </w:r>
          </w:p>
        </w:tc>
        <w:tc>
          <w:tcPr>
            <w:tcW w:w="1831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0.397727</w:t>
            </w:r>
          </w:p>
        </w:tc>
        <w:tc>
          <w:tcPr>
            <w:tcW w:w="298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联用仍退化</w:t>
            </w:r>
          </w:p>
        </w:tc>
      </w:tr>
      <w:tr>
        <w:trPr>
          <w:cantSplit/>
        </w:trPr>
        <w:tc>
          <w:tcPr>
            <w:tcW w:w="1542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Solar</w:t>
            </w:r>
          </w:p>
        </w:tc>
        <w:tc>
          <w:tcPr>
            <w:tcW w:w="1445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B3</w:t>
            </w:r>
          </w:p>
        </w:tc>
        <w:tc>
          <w:tcPr>
            <w:tcW w:w="1831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0.178793</w:t>
            </w:r>
          </w:p>
        </w:tc>
        <w:tc>
          <w:tcPr>
            <w:tcW w:w="1831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0.240219</w:t>
            </w:r>
          </w:p>
        </w:tc>
        <w:tc>
          <w:tcPr>
            <w:tcW w:w="298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MSE 降、MAE 升</w:t>
            </w:r>
          </w:p>
        </w:tc>
      </w:tr>
      <w:tr>
        <w:trPr>
          <w:cantSplit/>
        </w:trPr>
        <w:tc>
          <w:tcPr>
            <w:tcW w:w="1542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Solar</w:t>
            </w:r>
          </w:p>
        </w:tc>
        <w:tc>
          <w:tcPr>
            <w:tcW w:w="1445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A3</w:t>
            </w:r>
          </w:p>
        </w:tc>
        <w:tc>
          <w:tcPr>
            <w:tcW w:w="1831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0.229461</w:t>
            </w:r>
          </w:p>
        </w:tc>
        <w:tc>
          <w:tcPr>
            <w:tcW w:w="1831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0.297949</w:t>
            </w:r>
          </w:p>
        </w:tc>
        <w:tc>
          <w:tcPr>
            <w:tcW w:w="298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最佳 epoch 1，明显退化</w:t>
            </w:r>
          </w:p>
        </w:tc>
      </w:tr>
      <w:tr>
        <w:trPr>
          <w:cantSplit/>
        </w:trPr>
        <w:tc>
          <w:tcPr>
            <w:tcW w:w="1542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Solar</w:t>
            </w:r>
          </w:p>
        </w:tc>
        <w:tc>
          <w:tcPr>
            <w:tcW w:w="1445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ABC3</w:t>
            </w:r>
          </w:p>
        </w:tc>
        <w:tc>
          <w:tcPr>
            <w:tcW w:w="1831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0.225285</w:t>
            </w:r>
          </w:p>
        </w:tc>
        <w:tc>
          <w:tcPr>
            <w:tcW w:w="1831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0.295778</w:t>
            </w:r>
          </w:p>
        </w:tc>
        <w:tc>
          <w:tcPr>
            <w:tcW w:w="298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完整旧版明显退化</w:t>
            </w:r>
          </w:p>
        </w:tc>
      </w:tr>
    </w:tbl>
    <w:p>
      <w:pPr>
        <w:pStyle w:val="TableAfter"/>
      </w:pP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v2 保留基础 Q 并把长库中心化；v3 用水平/趋势/幅度系数，长记忆参数 6216→777。两者都未解决训练误差下降、验证误差上升的问题，因此 v4 改变检索对象，而不是继续调日历表规模。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B1 初始化消耗随机流，微小改善不能独立归因门控。之后 fork_rng 保持初始化随机流。Solar 旧版负结果不能直接推断新版真实历史库的泛化表现。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工程失败另存：同名 queue 遮蔽标准库、入口 super 递归已修复；4 个失败 smoke 与 4 个因依赖失败未启动的正式配置保留，后者不算训练失败。</w:t>
      </w:r>
    </w:p>
    <w:p>
      <w:pPr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08 最新正式结果与资源观察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ETTh1：同 seed、同预算、同评估资产</w:t>
      </w:r>
    </w:p>
    <w:tbl>
      <w:tblPr>
        <w:tblW w:w="9638" w:type="dxa"/>
        <w:tblLayout w:type="fixed"/>
        <w:tblCellMar>
          <w:top w:w="65" w:type="dxa"/>
          <w:bottom w:w="65" w:type="dxa"/>
          <w:left w:w="105" w:type="dxa"/>
          <w:right w:w="105" w:type="dxa"/>
        </w:tblCellMar>
        <w:tblBorders>
          <w:top w:val="single" w:sz="4" w:color="D5DFE8"/>
          <w:left w:val="single" w:sz="4" w:color="D5DFE8"/>
          <w:bottom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2313"/>
        <w:gridCol w:w="1831"/>
        <w:gridCol w:w="1831"/>
        <w:gridCol w:w="1831"/>
        <w:gridCol w:w="1832"/>
      </w:tblGrid>
      <w:tr>
        <w:trPr>
          <w:cantSplit/>
          <w:tblHeader/>
        </w:trPr>
        <w:tc>
          <w:tcPr>
            <w:tcW w:w="2313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模型</w:t>
            </w:r>
          </w:p>
        </w:tc>
        <w:tc>
          <w:tcPr>
            <w:tcW w:w="1831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MSE</w:t>
            </w:r>
          </w:p>
        </w:tc>
        <w:tc>
          <w:tcPr>
            <w:tcW w:w="1831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MAE</w:t>
            </w:r>
          </w:p>
        </w:tc>
        <w:tc>
          <w:tcPr>
            <w:tcW w:w="1831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MSE 降低</w:t>
            </w:r>
          </w:p>
        </w:tc>
        <w:tc>
          <w:tcPr>
            <w:tcW w:w="1832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MAE 降低</w:t>
            </w:r>
          </w:p>
        </w:tc>
      </w:tr>
      <w:tr>
        <w:trPr>
          <w:cantSplit/>
        </w:trPr>
        <w:tc>
          <w:tcPr>
            <w:tcW w:w="2313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GTR</w:t>
            </w:r>
          </w:p>
        </w:tc>
        <w:tc>
          <w:tcPr>
            <w:tcW w:w="1831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0.369598</w:t>
            </w:r>
          </w:p>
        </w:tc>
        <w:tc>
          <w:tcPr>
            <w:tcW w:w="1831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0.392604</w:t>
            </w:r>
          </w:p>
        </w:tc>
        <w:tc>
          <w:tcPr>
            <w:tcW w:w="1831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—</w:t>
            </w:r>
          </w:p>
        </w:tc>
        <w:tc>
          <w:tcPr>
            <w:tcW w:w="1832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—</w:t>
            </w:r>
          </w:p>
        </w:tc>
      </w:tr>
      <w:tr>
        <w:trPr>
          <w:cantSplit/>
        </w:trPr>
        <w:tc>
          <w:tcPr>
            <w:tcW w:w="2313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A4</w:t>
            </w:r>
          </w:p>
        </w:tc>
        <w:tc>
          <w:tcPr>
            <w:tcW w:w="1831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0.368977</w:t>
            </w:r>
          </w:p>
        </w:tc>
        <w:tc>
          <w:tcPr>
            <w:tcW w:w="1831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0.392325</w:t>
            </w:r>
          </w:p>
        </w:tc>
        <w:tc>
          <w:tcPr>
            <w:tcW w:w="1831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0.1681%</w:t>
            </w:r>
          </w:p>
        </w:tc>
        <w:tc>
          <w:tcPr>
            <w:tcW w:w="1832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0.0713%</w:t>
            </w:r>
          </w:p>
        </w:tc>
      </w:tr>
      <w:tr>
        <w:trPr>
          <w:cantSplit/>
        </w:trPr>
        <w:tc>
          <w:tcPr>
            <w:tcW w:w="2313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AB4</w:t>
            </w:r>
          </w:p>
        </w:tc>
        <w:tc>
          <w:tcPr>
            <w:tcW w:w="1831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0.369042</w:t>
            </w:r>
          </w:p>
        </w:tc>
        <w:tc>
          <w:tcPr>
            <w:tcW w:w="1831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0.392228</w:t>
            </w:r>
          </w:p>
        </w:tc>
        <w:tc>
          <w:tcPr>
            <w:tcW w:w="1831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0.1507%</w:t>
            </w:r>
          </w:p>
        </w:tc>
        <w:tc>
          <w:tcPr>
            <w:tcW w:w="1832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0.0959%</w:t>
            </w:r>
          </w:p>
        </w:tc>
      </w:tr>
      <w:tr>
        <w:trPr>
          <w:cantSplit/>
        </w:trPr>
        <w:tc>
          <w:tcPr>
            <w:tcW w:w="2313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ABC4</w:t>
            </w:r>
          </w:p>
        </w:tc>
        <w:tc>
          <w:tcPr>
            <w:tcW w:w="1831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0.368974</w:t>
            </w:r>
          </w:p>
        </w:tc>
        <w:tc>
          <w:tcPr>
            <w:tcW w:w="1831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0.392199</w:t>
            </w:r>
          </w:p>
        </w:tc>
        <w:tc>
          <w:tcPr>
            <w:tcW w:w="1831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0.1690%</w:t>
            </w:r>
          </w:p>
        </w:tc>
        <w:tc>
          <w:tcPr>
            <w:tcW w:w="1832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0.1032%</w:t>
            </w:r>
          </w:p>
        </w:tc>
      </w:tr>
      <w:tr>
        <w:trPr>
          <w:cantSplit/>
        </w:trPr>
        <w:tc>
          <w:tcPr>
            <w:tcW w:w="2313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A5</w:t>
            </w:r>
          </w:p>
        </w:tc>
        <w:tc>
          <w:tcPr>
            <w:tcW w:w="1831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20313F"/>
              </w:rPr>
              <w:t xml:space="preserve">0.366727</w:t>
            </w:r>
          </w:p>
        </w:tc>
        <w:tc>
          <w:tcPr>
            <w:tcW w:w="1831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20313F"/>
              </w:rPr>
              <w:t xml:space="preserve">0.391116</w:t>
            </w:r>
          </w:p>
        </w:tc>
        <w:tc>
          <w:tcPr>
            <w:tcW w:w="1831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0.7770%</w:t>
            </w:r>
          </w:p>
        </w:tc>
        <w:tc>
          <w:tcPr>
            <w:tcW w:w="1832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0.3792%</w:t>
            </w:r>
          </w:p>
        </w:tc>
      </w:tr>
      <w:tr>
        <w:trPr>
          <w:cantSplit/>
        </w:trPr>
        <w:tc>
          <w:tcPr>
            <w:tcW w:w="2313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AB5</w:t>
            </w:r>
          </w:p>
        </w:tc>
        <w:tc>
          <w:tcPr>
            <w:tcW w:w="1831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0.368004</w:t>
            </w:r>
          </w:p>
        </w:tc>
        <w:tc>
          <w:tcPr>
            <w:tcW w:w="1831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0.391900</w:t>
            </w:r>
          </w:p>
        </w:tc>
        <w:tc>
          <w:tcPr>
            <w:tcW w:w="1831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0.4313%</w:t>
            </w:r>
          </w:p>
        </w:tc>
        <w:tc>
          <w:tcPr>
            <w:tcW w:w="1832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0.1794%</w:t>
            </w:r>
          </w:p>
        </w:tc>
      </w:tr>
      <w:tr>
        <w:trPr>
          <w:cantSplit/>
        </w:trPr>
        <w:tc>
          <w:tcPr>
            <w:tcW w:w="2313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ABC5</w:t>
            </w:r>
          </w:p>
        </w:tc>
        <w:tc>
          <w:tcPr>
            <w:tcW w:w="1831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0.367629</w:t>
            </w:r>
          </w:p>
        </w:tc>
        <w:tc>
          <w:tcPr>
            <w:tcW w:w="1831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0.391734</w:t>
            </w:r>
          </w:p>
        </w:tc>
        <w:tc>
          <w:tcPr>
            <w:tcW w:w="1831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0.5328%</w:t>
            </w:r>
          </w:p>
        </w:tc>
        <w:tc>
          <w:tcPr>
            <w:tcW w:w="1832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0.2217%</w:t>
            </w:r>
          </w:p>
        </w:tc>
      </w:tr>
    </w:tbl>
    <w:p>
      <w:pPr>
        <w:pStyle w:val="TableAfter"/>
      </w:pP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v5 只把 </w:t>
      </w:r>
      <w:r>
        <w:rPr>
          <w:rFonts w:ascii="DejaVu Sans Mono" w:hAnsi="DejaVu Sans Mono" w:eastAsia="WenQuanYi Micro Hei"/>
          <w:lang w:val="en-US" w:eastAsia="zh-CN"/>
          <w:sz w:val="17"/>
          <w:shd w:fill="EEF3F7" w:val="clear"/>
        </w:rPr>
        <w:t xml:space="preserve">0.2*tanh(a)</w:t>
      </w:r>
      <w:r>
        <w:rPr>
          <w:rFonts w:ascii="Liberation Sans" w:hAnsi="Liberation Sans" w:eastAsia="WenQuanYi Micro Hei"/>
          <w:lang w:val="en-US" w:eastAsia="zh-CN"/>
        </w:rPr>
        <w:t xml:space="preserve"> 改为 </w:t>
      </w:r>
      <w:r>
        <w:rPr>
          <w:rFonts w:ascii="DejaVu Sans Mono" w:hAnsi="DejaVu Sans Mono" w:eastAsia="WenQuanYi Micro Hei"/>
          <w:lang w:val="en-US" w:eastAsia="zh-CN"/>
          <w:sz w:val="17"/>
          <w:shd w:fill="EEF3F7" w:val="clear"/>
        </w:rPr>
        <w:t xml:space="preserve">0.2*tanh(a/0.2)</w:t>
      </w:r>
      <w:r>
        <w:rPr>
          <w:rFonts w:ascii="Liberation Sans" w:hAnsi="Liberation Sans" w:eastAsia="WenQuanYi Micro Hei"/>
          <w:lang w:val="en-US" w:eastAsia="zh-CN"/>
        </w:rPr>
        <w:t xml:space="preserve">；保持零初始输出与幅度范围，修正新增参数的有效更新尺度。实际强度由约 0.015–0.017 增至约 0.068–0.070，改善幅度增加。官方优化器、LR 和预算未变，但新增参数的优化动态确实变化，应明确归因。</w:t>
      </w:r>
    </w:p>
    <w:tbl>
      <w:tblPr>
        <w:tblW w:w="9638" w:type="dxa"/>
        <w:tblLayout w:type="fixed"/>
        <w:tblCellMar>
          <w:top w:w="65" w:type="dxa"/>
          <w:bottom w:w="65" w:type="dxa"/>
          <w:left w:w="105" w:type="dxa"/>
          <w:right w:w="105" w:type="dxa"/>
        </w:tblCellMar>
        <w:tblBorders>
          <w:top w:val="single" w:sz="4" w:color="D5DFE8"/>
          <w:left w:val="single" w:sz="4" w:color="D5DFE8"/>
          <w:bottom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2313"/>
        <w:gridCol w:w="2409"/>
        <w:gridCol w:w="2216"/>
        <w:gridCol w:w="2700"/>
      </w:tblGrid>
      <w:tr>
        <w:trPr>
          <w:cantSplit/>
          <w:tblHeader/>
        </w:trPr>
        <w:tc>
          <w:tcPr>
            <w:tcW w:w="2313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模型</w:t>
            </w:r>
          </w:p>
        </w:tc>
        <w:tc>
          <w:tcPr>
            <w:tcW w:w="2409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参数量</w:t>
            </w:r>
          </w:p>
        </w:tc>
        <w:tc>
          <w:tcPr>
            <w:tcW w:w="2216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记录峰值 MiB</w:t>
            </w:r>
          </w:p>
        </w:tc>
        <w:tc>
          <w:tcPr>
            <w:tcW w:w="2700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最佳 / 总 epoch</w:t>
            </w:r>
          </w:p>
        </w:tc>
      </w:tr>
      <w:tr>
        <w:trPr>
          <w:cantSplit/>
        </w:trPr>
        <w:tc>
          <w:tcPr>
            <w:tcW w:w="2313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GTR</w:t>
            </w:r>
          </w:p>
        </w:tc>
        <w:tc>
          <w:tcPr>
            <w:tcW w:w="240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633,754</w:t>
            </w:r>
          </w:p>
        </w:tc>
        <w:tc>
          <w:tcPr>
            <w:tcW w:w="2216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622.0</w:t>
            </w:r>
          </w:p>
        </w:tc>
        <w:tc>
          <w:tcPr>
            <w:tcW w:w="2700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10 / 15</w:t>
            </w:r>
          </w:p>
        </w:tc>
      </w:tr>
      <w:tr>
        <w:trPr>
          <w:cantSplit/>
        </w:trPr>
        <w:tc>
          <w:tcPr>
            <w:tcW w:w="2313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A5</w:t>
            </w:r>
          </w:p>
        </w:tc>
        <w:tc>
          <w:tcPr>
            <w:tcW w:w="240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634,314</w:t>
            </w:r>
          </w:p>
        </w:tc>
        <w:tc>
          <w:tcPr>
            <w:tcW w:w="2216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794.0</w:t>
            </w:r>
          </w:p>
        </w:tc>
        <w:tc>
          <w:tcPr>
            <w:tcW w:w="2700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9 / 14</w:t>
            </w:r>
          </w:p>
        </w:tc>
      </w:tr>
      <w:tr>
        <w:trPr>
          <w:cantSplit/>
        </w:trPr>
        <w:tc>
          <w:tcPr>
            <w:tcW w:w="2313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AB5</w:t>
            </w:r>
          </w:p>
        </w:tc>
        <w:tc>
          <w:tcPr>
            <w:tcW w:w="240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634,507</w:t>
            </w:r>
          </w:p>
        </w:tc>
        <w:tc>
          <w:tcPr>
            <w:tcW w:w="2216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814.0</w:t>
            </w:r>
          </w:p>
        </w:tc>
        <w:tc>
          <w:tcPr>
            <w:tcW w:w="2700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10 / 15</w:t>
            </w:r>
          </w:p>
        </w:tc>
      </w:tr>
      <w:tr>
        <w:trPr>
          <w:cantSplit/>
        </w:trPr>
        <w:tc>
          <w:tcPr>
            <w:tcW w:w="2313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ABC5</w:t>
            </w:r>
          </w:p>
        </w:tc>
        <w:tc>
          <w:tcPr>
            <w:tcW w:w="240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634,507</w:t>
            </w:r>
          </w:p>
        </w:tc>
        <w:tc>
          <w:tcPr>
            <w:tcW w:w="2216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854.0</w:t>
            </w:r>
          </w:p>
        </w:tc>
        <w:tc>
          <w:tcPr>
            <w:tcW w:w="2700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10 / 15</w:t>
            </w:r>
          </w:p>
        </w:tc>
      </w:tr>
    </w:tbl>
    <w:p>
      <w:pPr>
        <w:pStyle w:val="TableAfter"/>
      </w:pP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A 新增 560 个参数，ABC 新增 753 个，但历史数据 buffer 不计参数。记录推理总时间 GTR/A5/AB5/ABC5 分别为 0.02865 / 0.28756 / 0.45016 / 0.20751 秒，均 11 batches；设备/并发时段不同，不能作为严格速度排名。</w:t>
      </w:r>
    </w:p>
    <w:tbl>
      <w:tblPr>
        <w:tblW w:w="9638" w:type="dxa"/>
        <w:tblLayout w:type="fixed"/>
        <w:tblCellMar>
          <w:top w:w="65" w:type="dxa"/>
          <w:bottom w:w="65" w:type="dxa"/>
          <w:left w:w="105" w:type="dxa"/>
          <w:right w:w="105" w:type="dxa"/>
        </w:tblCellMar>
        <w:tblBorders>
          <w:top w:val="single" w:sz="4" w:color="D5DFE8"/>
          <w:left w:val="single" w:sz="4" w:color="D5DFE8"/>
          <w:bottom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1542"/>
        <w:gridCol w:w="2602"/>
        <w:gridCol w:w="2602"/>
        <w:gridCol w:w="2892"/>
      </w:tblGrid>
      <w:tr>
        <w:trPr>
          <w:cantSplit/>
          <w:tblHeader/>
        </w:trPr>
        <w:tc>
          <w:tcPr>
            <w:tcW w:w="1542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数据</w:t>
            </w:r>
          </w:p>
        </w:tc>
        <w:tc>
          <w:tcPr>
            <w:tcW w:w="2602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论文 MSE / MAE</w:t>
            </w:r>
          </w:p>
        </w:tc>
        <w:tc>
          <w:tcPr>
            <w:tcW w:w="2602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本基线 MSE / MAE</w:t>
            </w:r>
          </w:p>
        </w:tc>
        <w:tc>
          <w:tcPr>
            <w:tcW w:w="2892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绝对差 MSE / MAE</w:t>
            </w:r>
          </w:p>
        </w:tc>
      </w:tr>
      <w:tr>
        <w:trPr>
          <w:cantSplit/>
        </w:trPr>
        <w:tc>
          <w:tcPr>
            <w:tcW w:w="1542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ETTh1</w:t>
            </w:r>
          </w:p>
        </w:tc>
        <w:tc>
          <w:tcPr>
            <w:tcW w:w="2602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0.367 / 0.391</w:t>
            </w:r>
          </w:p>
        </w:tc>
        <w:tc>
          <w:tcPr>
            <w:tcW w:w="2602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0.369598 / 0.392604</w:t>
            </w:r>
          </w:p>
        </w:tc>
        <w:tc>
          <w:tcPr>
            <w:tcW w:w="2892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+0.002598 / +0.001604</w:t>
            </w:r>
          </w:p>
        </w:tc>
      </w:tr>
      <w:tr>
        <w:trPr>
          <w:cantSplit/>
        </w:trPr>
        <w:tc>
          <w:tcPr>
            <w:tcW w:w="1542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Solar</w:t>
            </w:r>
          </w:p>
        </w:tc>
        <w:tc>
          <w:tcPr>
            <w:tcW w:w="2602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0.176 / 0.235</w:t>
            </w:r>
          </w:p>
        </w:tc>
        <w:tc>
          <w:tcPr>
            <w:tcW w:w="2602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0.181172 / 0.236659</w:t>
            </w:r>
          </w:p>
        </w:tc>
        <w:tc>
          <w:tcPr>
            <w:tcW w:w="2892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+0.005172 / +0.001659</w:t>
            </w:r>
          </w:p>
        </w:tc>
      </w:tr>
    </w:tbl>
    <w:p>
      <w:pPr>
        <w:pStyle w:val="TableAfter"/>
      </w:pP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论文参考为 2025–2029 五 seed 均值；本基线为 seed 2024，优化代码行为保持官方，但 seed 统计口径不同，不能称完全同协议统计复现。</w:t>
      </w:r>
    </w:p>
    <w:p>
      <w:pPr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09 验证集诊断：检索为何值得继续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这一页是</w:t>
      </w:r>
      <w:r>
        <w:rPr>
          <w:rFonts w:ascii="Liberation Sans" w:hAnsi="Liberation Sans" w:eastAsia="WenQuanYi Micro Hei"/>
          <w:lang w:val="en-US" w:eastAsia="zh-CN"/>
          <w:b/>
        </w:rPr>
        <w:t xml:space="preserve">验证集预测诊断</w:t>
      </w:r>
      <w:r>
        <w:rPr>
          <w:rFonts w:ascii="Liberation Sans" w:hAnsi="Liberation Sans" w:eastAsia="WenQuanYi Micro Hei"/>
          <w:lang w:val="en-US" w:eastAsia="zh-CN"/>
        </w:rPr>
        <w:t xml:space="preserve">，不是正式测试成绩。诊断没有 optimizer step，不使用测试目标；候选仅来自训练段，满足因果边界。完整验证集评估不 shuffle/drop_last，因此也不同于官方早停批次平均。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ETTh1：全部 2785 个验证窗口</w:t>
      </w:r>
    </w:p>
    <w:tbl>
      <w:tblPr>
        <w:tblW w:w="9638" w:type="dxa"/>
        <w:tblLayout w:type="fixed"/>
        <w:tblCellMar>
          <w:top w:w="65" w:type="dxa"/>
          <w:bottom w:w="65" w:type="dxa"/>
          <w:left w:w="105" w:type="dxa"/>
          <w:right w:w="105" w:type="dxa"/>
        </w:tblCellMar>
        <w:tblBorders>
          <w:top w:val="single" w:sz="4" w:color="D5DFE8"/>
          <w:left w:val="single" w:sz="4" w:color="D5DFE8"/>
          <w:bottom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5204"/>
        <w:gridCol w:w="2216"/>
        <w:gridCol w:w="2218"/>
      </w:tblGrid>
      <w:tr>
        <w:trPr>
          <w:cantSplit/>
          <w:tblHeader/>
        </w:trPr>
        <w:tc>
          <w:tcPr>
            <w:tcW w:w="5204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固定诊断设置</w:t>
            </w:r>
          </w:p>
        </w:tc>
        <w:tc>
          <w:tcPr>
            <w:tcW w:w="2216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MSE</w:t>
            </w:r>
          </w:p>
        </w:tc>
        <w:tc>
          <w:tcPr>
            <w:tcW w:w="2218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MAE</w:t>
            </w:r>
          </w:p>
        </w:tc>
      </w:tr>
      <w:tr>
        <w:trPr>
          <w:cantSplit/>
        </w:trPr>
        <w:tc>
          <w:tcPr>
            <w:tcW w:w="5204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已训练 GTR</w:t>
            </w:r>
          </w:p>
        </w:tc>
        <w:tc>
          <w:tcPr>
            <w:tcW w:w="2216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0.675533</w:t>
            </w:r>
          </w:p>
        </w:tc>
        <w:tc>
          <w:tcPr>
            <w:tcW w:w="2218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0.540662</w:t>
            </w:r>
          </w:p>
        </w:tc>
      </w:tr>
      <w:tr>
        <w:trPr>
          <w:cantSplit/>
        </w:trPr>
        <w:tc>
          <w:tcPr>
            <w:tcW w:w="5204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同相位历史检索单独预测</w:t>
            </w:r>
          </w:p>
        </w:tc>
        <w:tc>
          <w:tcPr>
            <w:tcW w:w="2216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0.823224</w:t>
            </w:r>
          </w:p>
        </w:tc>
        <w:tc>
          <w:tcPr>
            <w:tcW w:w="2218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0.616709</w:t>
            </w:r>
          </w:p>
        </w:tc>
      </w:tr>
      <w:tr>
        <w:trPr>
          <w:cantSplit/>
        </w:trPr>
        <w:tc>
          <w:tcPr>
            <w:tcW w:w="5204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GTR + 0.1 固定检索混合</w:t>
            </w:r>
          </w:p>
        </w:tc>
        <w:tc>
          <w:tcPr>
            <w:tcW w:w="2216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0.669114</w:t>
            </w:r>
          </w:p>
        </w:tc>
        <w:tc>
          <w:tcPr>
            <w:tcW w:w="2218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0.538264</w:t>
            </w:r>
          </w:p>
        </w:tc>
      </w:tr>
      <w:tr>
        <w:trPr>
          <w:cantSplit/>
        </w:trPr>
        <w:tc>
          <w:tcPr>
            <w:tcW w:w="5204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GTR + 0.2 固定检索混合</w:t>
            </w:r>
          </w:p>
        </w:tc>
        <w:tc>
          <w:tcPr>
            <w:tcW w:w="2216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0.667404</w:t>
            </w:r>
          </w:p>
        </w:tc>
        <w:tc>
          <w:tcPr>
            <w:tcW w:w="2218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0.538377</w:t>
            </w:r>
          </w:p>
        </w:tc>
      </w:tr>
    </w:tbl>
    <w:p>
      <w:pPr>
        <w:pStyle w:val="TableAfter"/>
      </w:pP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检索单独弱于模型，但小幅混合改善两项指标，支持把它作为校正。短/中/长候选的实际 top3 权重贡献约为 61.48% / 22.75% / 15.77%；跨库组合优于单库诊断。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Solar：全部 5161 个验证窗口</w:t>
      </w:r>
    </w:p>
    <w:tbl>
      <w:tblPr>
        <w:tblW w:w="9638" w:type="dxa"/>
        <w:tblLayout w:type="fixed"/>
        <w:tblCellMar>
          <w:top w:w="65" w:type="dxa"/>
          <w:bottom w:w="65" w:type="dxa"/>
          <w:left w:w="105" w:type="dxa"/>
          <w:right w:w="105" w:type="dxa"/>
        </w:tblCellMar>
        <w:tblBorders>
          <w:top w:val="single" w:sz="4" w:color="D5DFE8"/>
          <w:left w:val="single" w:sz="4" w:color="D5DFE8"/>
          <w:bottom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5204"/>
        <w:gridCol w:w="2216"/>
        <w:gridCol w:w="2218"/>
      </w:tblGrid>
      <w:tr>
        <w:trPr>
          <w:cantSplit/>
          <w:tblHeader/>
        </w:trPr>
        <w:tc>
          <w:tcPr>
            <w:tcW w:w="5204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固定诊断设置</w:t>
            </w:r>
          </w:p>
        </w:tc>
        <w:tc>
          <w:tcPr>
            <w:tcW w:w="2216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MSE</w:t>
            </w:r>
          </w:p>
        </w:tc>
        <w:tc>
          <w:tcPr>
            <w:tcW w:w="2218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MAE</w:t>
            </w:r>
          </w:p>
        </w:tc>
      </w:tr>
      <w:tr>
        <w:trPr>
          <w:cantSplit/>
        </w:trPr>
        <w:tc>
          <w:tcPr>
            <w:tcW w:w="5204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已训练 GTR</w:t>
            </w:r>
          </w:p>
        </w:tc>
        <w:tc>
          <w:tcPr>
            <w:tcW w:w="2216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0.143148</w:t>
            </w:r>
          </w:p>
        </w:tc>
        <w:tc>
          <w:tcPr>
            <w:tcW w:w="2218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0.214399</w:t>
            </w:r>
          </w:p>
        </w:tc>
      </w:tr>
      <w:tr>
        <w:trPr>
          <w:cantSplit/>
        </w:trPr>
        <w:tc>
          <w:tcPr>
            <w:tcW w:w="5204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同相位全库混合，权重 0.1</w:t>
            </w:r>
          </w:p>
        </w:tc>
        <w:tc>
          <w:tcPr>
            <w:tcW w:w="2216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0.143530</w:t>
            </w:r>
          </w:p>
        </w:tc>
        <w:tc>
          <w:tcPr>
            <w:tcW w:w="2218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0.213799</w:t>
            </w:r>
          </w:p>
        </w:tc>
      </w:tr>
      <w:tr>
        <w:trPr>
          <w:cantSplit/>
        </w:trPr>
        <w:tc>
          <w:tcPr>
            <w:tcW w:w="5204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同相位短库混合，权重 0.1</w:t>
            </w:r>
          </w:p>
        </w:tc>
        <w:tc>
          <w:tcPr>
            <w:tcW w:w="2216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0.141646</w:t>
            </w:r>
          </w:p>
        </w:tc>
        <w:tc>
          <w:tcPr>
            <w:tcW w:w="2218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0.212456</w:t>
            </w:r>
          </w:p>
        </w:tc>
      </w:tr>
      <w:tr>
        <w:trPr>
          <w:cantSplit/>
        </w:trPr>
        <w:tc>
          <w:tcPr>
            <w:tcW w:w="5204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同相位长库混合，权重 0.1</w:t>
            </w:r>
          </w:p>
        </w:tc>
        <w:tc>
          <w:tcPr>
            <w:tcW w:w="2216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0.145276</w:t>
            </w:r>
          </w:p>
        </w:tc>
        <w:tc>
          <w:tcPr>
            <w:tcW w:w="2218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0.215345</w:t>
            </w:r>
          </w:p>
        </w:tc>
      </w:tr>
    </w:tbl>
    <w:p>
      <w:pPr>
        <w:pStyle w:val="TableAfter"/>
      </w:pP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Solar 的长库可能有害；全局最近邻仍给长库约 34.83% 权重。短库有内容价值，为逐库选择和可靠性拒绝提供了实际验证任务。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解析 oracle 使用真实未来，只是上限诊断：例如 ETTh1 每样本/通道 oracle MSE 约 0.594408。它不是可部署模型结果，不能放入正式方法排行榜，也不能用于测试集选型。</w:t>
      </w:r>
    </w:p>
    <w:p>
      <w:pPr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10 下一阶段最短执行路线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先补归因，再修机制</w:t>
      </w:r>
    </w:p>
    <w:tbl>
      <w:tblPr>
        <w:tblW w:w="9638" w:type="dxa"/>
        <w:tblLayout w:type="fixed"/>
        <w:tblCellMar>
          <w:top w:w="65" w:type="dxa"/>
          <w:bottom w:w="65" w:type="dxa"/>
          <w:left w:w="105" w:type="dxa"/>
          <w:right w:w="105" w:type="dxa"/>
        </w:tblCellMar>
        <w:tblBorders>
          <w:top w:val="single" w:sz="4" w:color="D5DFE8"/>
          <w:left w:val="single" w:sz="4" w:color="D5DFE8"/>
          <w:bottom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1156"/>
        <w:gridCol w:w="4915"/>
        <w:gridCol w:w="3567"/>
      </w:tblGrid>
      <w:tr>
        <w:trPr>
          <w:cantSplit/>
          <w:tblHeader/>
        </w:trPr>
        <w:tc>
          <w:tcPr>
            <w:tcW w:w="1156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顺序</w:t>
            </w:r>
          </w:p>
        </w:tc>
        <w:tc>
          <w:tcPr>
            <w:tcW w:w="4915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任务</w:t>
            </w:r>
          </w:p>
        </w:tc>
        <w:tc>
          <w:tcPr>
            <w:tcW w:w="3567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完成判据</w:t>
            </w:r>
          </w:p>
        </w:tc>
      </w:tr>
      <w:tr>
        <w:trPr>
          <w:cantSplit/>
        </w:trPr>
        <w:tc>
          <w:tcPr>
            <w:tcW w:w="1156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1</w:t>
            </w:r>
          </w:p>
        </w:tc>
        <w:tc>
          <w:tcPr>
            <w:tcW w:w="4915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ETTh1 补 AC5；冻结 v5 其他设置</w:t>
            </w:r>
          </w:p>
        </w:tc>
        <w:tc>
          <w:tcPr>
            <w:tcW w:w="3567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C 在不含 B 时的作用可比较</w:t>
            </w:r>
          </w:p>
        </w:tc>
      </w:tr>
      <w:tr>
        <w:trPr>
          <w:cantSplit/>
        </w:trPr>
        <w:tc>
          <w:tcPr>
            <w:tcW w:w="1156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2</w:t>
            </w:r>
          </w:p>
        </w:tc>
        <w:tc>
          <w:tcPr>
            <w:tcW w:w="4915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Solar 先 smoke + 新版 A5</w:t>
            </w:r>
          </w:p>
        </w:tc>
        <w:tc>
          <w:tcPr>
            <w:tcW w:w="3567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新历史库是否避免旧 A3 退化</w:t>
            </w:r>
          </w:p>
        </w:tc>
      </w:tr>
      <w:tr>
        <w:trPr>
          <w:cantSplit/>
        </w:trPr>
        <w:tc>
          <w:tcPr>
            <w:tcW w:w="1156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3</w:t>
            </w:r>
          </w:p>
        </w:tc>
        <w:tc>
          <w:tcPr>
            <w:tcW w:w="4915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Solar 有信息价值后补 AB/AC/ABC</w:t>
            </w:r>
          </w:p>
        </w:tc>
        <w:tc>
          <w:tcPr>
            <w:tcW w:w="3567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完成第二数据集同版模块归因</w:t>
            </w:r>
          </w:p>
        </w:tc>
      </w:tr>
      <w:tr>
        <w:trPr>
          <w:cantSplit/>
        </w:trPr>
        <w:tc>
          <w:tcPr>
            <w:tcW w:w="1156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4</w:t>
            </w:r>
          </w:p>
        </w:tc>
        <w:tc>
          <w:tcPr>
            <w:tcW w:w="4915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单改 global_topk→per_bank</w:t>
            </w:r>
          </w:p>
        </w:tc>
        <w:tc>
          <w:tcPr>
            <w:tcW w:w="3567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路由能否拒绝有害年龄库</w:t>
            </w:r>
          </w:p>
        </w:tc>
      </w:tr>
      <w:tr>
        <w:trPr>
          <w:cantSplit/>
        </w:trPr>
        <w:tc>
          <w:tcPr>
            <w:tcW w:w="1156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5</w:t>
            </w:r>
          </w:p>
        </w:tc>
        <w:tc>
          <w:tcPr>
            <w:tcW w:w="4915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固定 A/B，仅改 C 为 Euclidean</w:t>
            </w:r>
          </w:p>
        </w:tc>
        <w:tc>
          <w:tcPr>
            <w:tcW w:w="3567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对比监督与检索几何是否一致</w:t>
            </w:r>
          </w:p>
        </w:tc>
      </w:tr>
      <w:tr>
        <w:trPr>
          <w:cantSplit/>
        </w:trPr>
        <w:tc>
          <w:tcPr>
            <w:tcW w:w="1156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6</w:t>
            </w:r>
          </w:p>
        </w:tc>
        <w:tc>
          <w:tcPr>
            <w:tcW w:w="4915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根据误差诊断调整 B 的一项因素</w:t>
            </w:r>
          </w:p>
        </w:tc>
        <w:tc>
          <w:tcPr>
            <w:tcW w:w="3567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门控收益可解释，而非整体降幅</w:t>
            </w:r>
          </w:p>
        </w:tc>
      </w:tr>
    </w:tbl>
    <w:p>
      <w:pPr>
        <w:pStyle w:val="TableAfter"/>
      </w:pP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每个新配置有独立 ID 和 smoke，基线回归检查通过后进入统一队列。已有 </w:t>
      </w:r>
      <w:r>
        <w:rPr>
          <w:rFonts w:ascii="DejaVu Sans Mono" w:hAnsi="DejaVu Sans Mono" w:eastAsia="WenQuanYi Micro Hei"/>
          <w:lang w:val="en-US" w:eastAsia="zh-CN"/>
          <w:sz w:val="17"/>
          <w:shd w:fill="EEF3F7" w:val="clear"/>
        </w:rPr>
        <w:t xml:space="preserve">per_bank</w:t>
      </w:r>
      <w:r>
        <w:rPr>
          <w:rFonts w:ascii="Liberation Sans" w:hAnsi="Liberation Sans" w:eastAsia="WenQuanYi Micro Hei"/>
          <w:lang w:val="en-US" w:eastAsia="zh-CN"/>
        </w:rPr>
        <w:t xml:space="preserve"> 与 Euclidean 开关不代表已有正式结果。round6 生成器草稿会组合部分改动，应按这里的单因素计划拆分、核对配置后再启动。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结果分支</w:t>
      </w:r>
    </w:p>
    <w:p>
      <w:pPr>
        <w:pStyle w:val="Bullet"/>
        <w:ind w:left="220" w:hanging="180"/>
      </w:pPr>
      <w:r>
        <w:rPr>
          <w:rFonts w:ascii="Liberation Sans" w:hAnsi="Liberation Sans" w:eastAsia="WenQuanYi Micro Hei"/>
          <w:lang w:val="en-US" w:eastAsia="zh-CN"/>
        </w:rPr>
        <w:t xml:space="preserve">•  A 有效、B 变差：比较固定与动态 gate；检查校正强度、gate 分布、oracle 可识别性和不同库的预测分歧。</w:t>
      </w:r>
    </w:p>
    <w:p>
      <w:pPr>
        <w:pStyle w:val="Bullet"/>
        <w:ind w:left="220" w:hanging="180"/>
      </w:pPr>
      <w:r>
        <w:rPr>
          <w:rFonts w:ascii="Liberation Sans" w:hAnsi="Liberation Sans" w:eastAsia="WenQuanYi Micro Hei"/>
          <w:lang w:val="en-US" w:eastAsia="zh-CN"/>
        </w:rPr>
        <w:t xml:space="preserve">•  C 候选充分但无收益：检查距离一致性、正例是否可预测、主/辅助梯度比例，再调整一个损失因素。</w:t>
      </w:r>
    </w:p>
    <w:p>
      <w:pPr>
        <w:pStyle w:val="Bullet"/>
        <w:ind w:left="220" w:hanging="180"/>
      </w:pPr>
      <w:r>
        <w:rPr>
          <w:rFonts w:ascii="Liberation Sans" w:hAnsi="Liberation Sans" w:eastAsia="WenQuanYi Micro Hei"/>
          <w:lang w:val="en-US" w:eastAsia="zh-CN"/>
        </w:rPr>
        <w:t xml:space="preserve">•  Solar A 再次变差：回到短/中/长库的验证误差、实际选中比例与归一化迁移；保留全部库的研究范围。</w:t>
      </w:r>
    </w:p>
    <w:p>
      <w:pPr>
        <w:pStyle w:val="Bullet"/>
        <w:ind w:left="220" w:hanging="180"/>
      </w:pPr>
      <w:r>
        <w:rPr>
          <w:rFonts w:ascii="Liberation Sans" w:hAnsi="Liberation Sans" w:eastAsia="WenQuanYi Micro Hei"/>
          <w:lang w:val="en-US" w:eastAsia="zh-CN"/>
        </w:rPr>
        <w:t xml:space="preserve">•  两数据集都有值得继续的方向：冻结方法，再进入配对多 seed。</w:t>
      </w:r>
    </w:p>
    <w:p>
      <w:pPr>
        <w:pStyle w:val="Bullet"/>
        <w:ind w:left="220" w:hanging="180"/>
      </w:pPr>
      <w:r>
        <w:rPr>
          <w:rFonts w:ascii="Liberation Sans" w:hAnsi="Liberation Sans" w:eastAsia="WenQuanYi Micro Hei"/>
          <w:lang w:val="en-US" w:eastAsia="zh-CN"/>
        </w:rPr>
        <w:t xml:space="preserve">•  无法形成有效组合：继续修候选与机制，暂停扩数据、外部基线和论文包装。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不设“必须提升某固定百分比”的机械门槛。决策同时看 MSE/MAE、跨数据方向、模块归因、波动及成本；正式结论仍需要统计验证。</w:t>
      </w:r>
    </w:p>
    <w:p>
      <w:pPr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11 独立贡献与最小消融矩阵</w:t>
      </w:r>
    </w:p>
    <w:tbl>
      <w:tblPr>
        <w:tblW w:w="9638" w:type="dxa"/>
        <w:tblLayout w:type="fixed"/>
        <w:tblCellMar>
          <w:top w:w="65" w:type="dxa"/>
          <w:bottom w:w="65" w:type="dxa"/>
          <w:left w:w="105" w:type="dxa"/>
          <w:right w:w="105" w:type="dxa"/>
        </w:tblCellMar>
        <w:tblBorders>
          <w:top w:val="single" w:sz="4" w:color="D5DFE8"/>
          <w:left w:val="single" w:sz="4" w:color="D5DFE8"/>
          <w:bottom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1445"/>
        <w:gridCol w:w="2120"/>
        <w:gridCol w:w="6073"/>
      </w:tblGrid>
      <w:tr>
        <w:trPr>
          <w:cantSplit/>
          <w:tblHeader/>
        </w:trPr>
        <w:tc>
          <w:tcPr>
            <w:tcW w:w="1445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配置</w:t>
            </w:r>
          </w:p>
        </w:tc>
        <w:tc>
          <w:tcPr>
            <w:tcW w:w="2120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快速阶段状态</w:t>
            </w:r>
          </w:p>
        </w:tc>
        <w:tc>
          <w:tcPr>
            <w:tcW w:w="6073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核心比较</w:t>
            </w:r>
          </w:p>
        </w:tc>
      </w:tr>
      <w:tr>
        <w:trPr>
          <w:cantSplit/>
        </w:trPr>
        <w:tc>
          <w:tcPr>
            <w:tcW w:w="1445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GTR</w:t>
            </w:r>
          </w:p>
        </w:tc>
        <w:tc>
          <w:tcPr>
            <w:tcW w:w="2120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两数据集已完成</w:t>
            </w:r>
          </w:p>
        </w:tc>
        <w:tc>
          <w:tcPr>
            <w:tcW w:w="6073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所有改进的父模型对照</w:t>
            </w:r>
          </w:p>
        </w:tc>
      </w:tr>
      <w:tr>
        <w:trPr>
          <w:cantSplit/>
        </w:trPr>
        <w:tc>
          <w:tcPr>
            <w:tcW w:w="1445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A5</w:t>
            </w:r>
          </w:p>
        </w:tc>
        <w:tc>
          <w:tcPr>
            <w:tcW w:w="2120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ETTh1 已完成</w:t>
            </w:r>
          </w:p>
        </w:tc>
        <w:tc>
          <w:tcPr>
            <w:tcW w:w="6073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 与 GTR：检索内容是否有效</w:t>
            </w:r>
          </w:p>
        </w:tc>
      </w:tr>
      <w:tr>
        <w:trPr>
          <w:cantSplit/>
        </w:trPr>
        <w:tc>
          <w:tcPr>
            <w:tcW w:w="1445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AB5</w:t>
            </w:r>
          </w:p>
        </w:tc>
        <w:tc>
          <w:tcPr>
            <w:tcW w:w="2120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ETTh1 已完成</w:t>
            </w:r>
          </w:p>
        </w:tc>
        <w:tc>
          <w:tcPr>
            <w:tcW w:w="6073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AB 与 A：B 的独立作用</w:t>
            </w:r>
          </w:p>
        </w:tc>
      </w:tr>
      <w:tr>
        <w:trPr>
          <w:cantSplit/>
        </w:trPr>
        <w:tc>
          <w:tcPr>
            <w:tcW w:w="1445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AC5</w:t>
            </w:r>
          </w:p>
        </w:tc>
        <w:tc>
          <w:tcPr>
            <w:tcW w:w="2120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待补</w:t>
            </w:r>
          </w:p>
        </w:tc>
        <w:tc>
          <w:tcPr>
            <w:tcW w:w="6073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AC 与 A：C 的独立作用</w:t>
            </w:r>
          </w:p>
        </w:tc>
      </w:tr>
      <w:tr>
        <w:trPr>
          <w:cantSplit/>
        </w:trPr>
        <w:tc>
          <w:tcPr>
            <w:tcW w:w="1445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ABC5</w:t>
            </w:r>
          </w:p>
        </w:tc>
        <w:tc>
          <w:tcPr>
            <w:tcW w:w="2120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ETTh1 已完成</w:t>
            </w:r>
          </w:p>
        </w:tc>
        <w:tc>
          <w:tcPr>
            <w:tcW w:w="6073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ABC 与 AB/AC：组合与交互</w:t>
            </w:r>
          </w:p>
        </w:tc>
      </w:tr>
    </w:tbl>
    <w:p>
      <w:pPr>
        <w:pStyle w:val="TableAfter"/>
      </w:pP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C 必须训练 A 的真实检索编码器；当前配置禁止无 A 的 C。因此不机械运行八种开关组合。B 的证据来自 AB−A 和 ABC−AC；C 的证据来自 AC−A 和 ABC−AB。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方法有效后再补的机制对照</w:t>
      </w:r>
    </w:p>
    <w:tbl>
      <w:tblPr>
        <w:tblW w:w="9638" w:type="dxa"/>
        <w:tblLayout w:type="fixed"/>
        <w:tblCellMar>
          <w:top w:w="65" w:type="dxa"/>
          <w:bottom w:w="65" w:type="dxa"/>
          <w:left w:w="105" w:type="dxa"/>
          <w:right w:w="105" w:type="dxa"/>
        </w:tblCellMar>
        <w:tblBorders>
          <w:top w:val="single" w:sz="4" w:color="D5DFE8"/>
          <w:left w:val="single" w:sz="4" w:color="D5DFE8"/>
          <w:bottom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1252"/>
        <w:gridCol w:w="4819"/>
        <w:gridCol w:w="3567"/>
      </w:tblGrid>
      <w:tr>
        <w:trPr>
          <w:cantSplit/>
          <w:tblHeader/>
        </w:trPr>
        <w:tc>
          <w:tcPr>
            <w:tcW w:w="1252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模块</w:t>
            </w:r>
          </w:p>
        </w:tc>
        <w:tc>
          <w:tcPr>
            <w:tcW w:w="4819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对照设计</w:t>
            </w:r>
          </w:p>
        </w:tc>
        <w:tc>
          <w:tcPr>
            <w:tcW w:w="3567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必须控制的因素</w:t>
            </w:r>
          </w:p>
        </w:tc>
      </w:tr>
      <w:tr>
        <w:trPr>
          <w:cantSplit/>
        </w:trPr>
        <w:tc>
          <w:tcPr>
            <w:tcW w:w="1252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</w:t>
            </w:r>
          </w:p>
        </w:tc>
        <w:tc>
          <w:tcPr>
            <w:tcW w:w="481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单库 / 多库；固定 / 学习路由；global / per_bank</w:t>
            </w:r>
          </w:p>
        </w:tc>
        <w:tc>
          <w:tcPr>
            <w:tcW w:w="3567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总候选数、训练预算和历史覆盖</w:t>
            </w:r>
          </w:p>
        </w:tc>
      </w:tr>
      <w:tr>
        <w:trPr>
          <w:cantSplit/>
        </w:trPr>
        <w:tc>
          <w:tcPr>
            <w:tcW w:w="1252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B</w:t>
            </w:r>
          </w:p>
        </w:tc>
        <w:tc>
          <w:tcPr>
            <w:tcW w:w="481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固定 gate / 动态 gate；有 / 无校准监督</w:t>
            </w:r>
          </w:p>
        </w:tc>
        <w:tc>
          <w:tcPr>
            <w:tcW w:w="3567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同一 A、相同修正参数化</w:t>
            </w:r>
          </w:p>
        </w:tc>
      </w:tr>
      <w:tr>
        <w:trPr>
          <w:cantSplit/>
        </w:trPr>
        <w:tc>
          <w:tcPr>
            <w:tcW w:w="1252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C</w:t>
            </w:r>
          </w:p>
        </w:tc>
        <w:tc>
          <w:tcPr>
            <w:tcW w:w="481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无对比 / 普通负例 / 同相位困难负例</w:t>
            </w:r>
          </w:p>
        </w:tc>
        <w:tc>
          <w:tcPr>
            <w:tcW w:w="3567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同一候选库、同一实际检索度量</w:t>
            </w:r>
          </w:p>
        </w:tc>
      </w:tr>
    </w:tbl>
    <w:p>
      <w:pPr>
        <w:pStyle w:val="TableAfter"/>
      </w:pP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如果要证明多库优势，不能让多库只因为看了更多候选获益。独立长周期候选库与年龄库的比较也要保持总候选预算。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同协议条件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固定 T/H、seed、batch、训练/验证/测试资产、最大 epoch、早停、优化器/LR、指标代码和 checkpoint 选择；新增模块及其 loss 权重显式记录。方法代码修改后重跑基线 smoke。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消融是检验完整研究范围，不是缩减创新方案。最终论文主张依据独立收益与机制证据形成，不能仅以“模块均存在”代替证明。</w:t>
      </w:r>
    </w:p>
    <w:p>
      <w:pPr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12 Baseline 与数据扩展计划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当前只做直接父模型与内部变体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GTR 是最关键对照；当前阶段不铺大量外部模型。方法冻结并出现值得统计验证的收益后，先补少量类别代表。</w:t>
      </w:r>
    </w:p>
    <w:tbl>
      <w:tblPr>
        <w:tblW w:w="9638" w:type="dxa"/>
        <w:tblLayout w:type="fixed"/>
        <w:tblCellMar>
          <w:top w:w="65" w:type="dxa"/>
          <w:bottom w:w="65" w:type="dxa"/>
          <w:left w:w="105" w:type="dxa"/>
          <w:right w:w="105" w:type="dxa"/>
        </w:tblCellMar>
        <w:tblBorders>
          <w:top w:val="single" w:sz="4" w:color="D5DFE8"/>
          <w:left w:val="single" w:sz="4" w:color="D5DFE8"/>
          <w:bottom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1927"/>
        <w:gridCol w:w="4819"/>
        <w:gridCol w:w="2892"/>
      </w:tblGrid>
      <w:tr>
        <w:trPr>
          <w:cantSplit/>
          <w:tblHeader/>
        </w:trPr>
        <w:tc>
          <w:tcPr>
            <w:tcW w:w="1927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模型</w:t>
            </w:r>
          </w:p>
        </w:tc>
        <w:tc>
          <w:tcPr>
            <w:tcW w:w="4819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比较意义</w:t>
            </w:r>
          </w:p>
        </w:tc>
        <w:tc>
          <w:tcPr>
            <w:tcW w:w="2892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阶段</w:t>
            </w:r>
          </w:p>
        </w:tc>
      </w:tr>
      <w:tr>
        <w:trPr>
          <w:cantSplit/>
        </w:trPr>
        <w:tc>
          <w:tcPr>
            <w:tcW w:w="1927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GTR</w:t>
            </w:r>
          </w:p>
        </w:tc>
        <w:tc>
          <w:tcPr>
            <w:tcW w:w="481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最直接父模型，预算与资产一致</w:t>
            </w:r>
          </w:p>
        </w:tc>
        <w:tc>
          <w:tcPr>
            <w:tcW w:w="2892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当前及全部阶段</w:t>
            </w:r>
          </w:p>
        </w:tc>
      </w:tr>
      <w:tr>
        <w:trPr>
          <w:cantSplit/>
        </w:trPr>
        <w:tc>
          <w:tcPr>
            <w:tcW w:w="1927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DLinear</w:t>
            </w:r>
          </w:p>
        </w:tc>
        <w:tc>
          <w:tcPr>
            <w:tcW w:w="481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轻量线性、趋势/季节分解代表</w:t>
            </w:r>
          </w:p>
        </w:tc>
        <w:tc>
          <w:tcPr>
            <w:tcW w:w="2892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正式扩展</w:t>
            </w:r>
          </w:p>
        </w:tc>
      </w:tr>
      <w:tr>
        <w:trPr>
          <w:cantSplit/>
        </w:trPr>
        <w:tc>
          <w:tcPr>
            <w:tcW w:w="1927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CycleNet</w:t>
            </w:r>
          </w:p>
        </w:tc>
        <w:tc>
          <w:tcPr>
            <w:tcW w:w="481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周期模板，与 A 最相关</w:t>
            </w:r>
          </w:p>
        </w:tc>
        <w:tc>
          <w:tcPr>
            <w:tcW w:w="2892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正式扩展</w:t>
            </w:r>
          </w:p>
        </w:tc>
      </w:tr>
      <w:tr>
        <w:trPr>
          <w:cantSplit/>
        </w:trPr>
        <w:tc>
          <w:tcPr>
            <w:tcW w:w="1927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PatchTST</w:t>
            </w:r>
          </w:p>
        </w:tc>
        <w:tc>
          <w:tcPr>
            <w:tcW w:w="481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Transformer 类强基线</w:t>
            </w:r>
          </w:p>
        </w:tc>
        <w:tc>
          <w:tcPr>
            <w:tcW w:w="2892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正式扩展</w:t>
            </w:r>
          </w:p>
        </w:tc>
      </w:tr>
      <w:tr>
        <w:trPr>
          <w:cantSplit/>
        </w:trPr>
        <w:tc>
          <w:tcPr>
            <w:tcW w:w="1927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iTransformer</w:t>
            </w:r>
          </w:p>
        </w:tc>
        <w:tc>
          <w:tcPr>
            <w:tcW w:w="481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强调跨变量作用时增加</w:t>
            </w:r>
          </w:p>
        </w:tc>
        <w:tc>
          <w:tcPr>
            <w:tcW w:w="2892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可选，不预先全跑</w:t>
            </w:r>
          </w:p>
        </w:tc>
      </w:tr>
    </w:tbl>
    <w:p>
      <w:pPr>
        <w:pStyle w:val="TableAfter"/>
      </w:pP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优先使用官方实现；仓库内已有相关模型可以缩短接入，但应核对与官方版本的区别。外部方法不强行套用 GTR 的全部优化器超参数；采用官方推荐设置、固定数据与指标，并透明记录输入长度、训练预算与搜索成本。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数据与预测长度</w:t>
      </w:r>
    </w:p>
    <w:p>
      <w:pPr>
        <w:pStyle w:val="Bullet"/>
        <w:ind w:left="220" w:hanging="180"/>
      </w:pPr>
      <w:r>
        <w:rPr>
          <w:rFonts w:ascii="Liberation Sans" w:hAnsi="Liberation Sans" w:eastAsia="WenQuanYi Micro Hei"/>
          <w:lang w:val="en-US" w:eastAsia="zh-CN"/>
        </w:rPr>
        <w:t xml:space="preserve">•  快速阶段保持 ETTh1/Solar、T96/H96、seed 2024，不增加更多 seed 或全数据集。</w:t>
      </w:r>
    </w:p>
    <w:p>
      <w:pPr>
        <w:pStyle w:val="Bullet"/>
        <w:ind w:left="220" w:hanging="180"/>
      </w:pPr>
      <w:r>
        <w:rPr>
          <w:rFonts w:ascii="Liberation Sans" w:hAnsi="Liberation Sans" w:eastAsia="WenQuanYi Micro Hei"/>
          <w:lang w:val="en-US" w:eastAsia="zh-CN"/>
        </w:rPr>
        <w:t xml:space="preserve">•  方法冻结后先增加一个官方支持的长预测范围，再根据结果补齐所需范围，不能混合不同 horizon 的数字排名。</w:t>
      </w:r>
    </w:p>
    <w:p>
      <w:pPr>
        <w:pStyle w:val="Bullet"/>
        <w:ind w:left="220" w:hanging="180"/>
      </w:pPr>
      <w:r>
        <w:rPr>
          <w:rFonts w:ascii="Liberation Sans" w:hAnsi="Liberation Sans" w:eastAsia="WenQuanYi Micro Hei"/>
          <w:lang w:val="en-US" w:eastAsia="zh-CN"/>
        </w:rPr>
        <w:t xml:space="preserve">•  第三个数据集从尚未参与方法设计的公开数据中选择；可考虑官方仓库支持的 Weather 或 Electricity，选择前核对来源、周期差异和预处理。</w:t>
      </w:r>
    </w:p>
    <w:p>
      <w:pPr>
        <w:pStyle w:val="Bullet"/>
        <w:ind w:left="220" w:hanging="180"/>
      </w:pPr>
      <w:r>
        <w:rPr>
          <w:rFonts w:ascii="Liberation Sans" w:hAnsi="Liberation Sans" w:eastAsia="WenQuanYi Micro Hei"/>
          <w:lang w:val="en-US" w:eastAsia="zh-CN"/>
        </w:rPr>
        <w:t xml:space="preserve">•  若验证插入其他 backbone 的可迁移性，采用“同 backbone 原始版 / +TrustGTR”的配对比较，只在主方法成立后开展。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来源</w:t>
      </w:r>
    </w:p>
    <w:p>
      <w:pPr>
        <w:pStyle w:val="Normal"/>
      </w:pPr>
      <w:hyperlink r:id="link2">
        <w:r>
          <w:rPr>
            <w:rFonts w:ascii="Liberation Sans" w:hAnsi="Liberation Sans" w:eastAsia="WenQuanYi Micro Hei"/>
            <w:lang w:val="en-US" w:eastAsia="zh-CN"/>
            <w:color w:val="17798A"/>
          </w:rPr>
          <w:t xml:space="preserve">DLinear 官方仓库</w:t>
        </w:r>
      </w:hyperlink>
      <w:r>
        <w:rPr>
          <w:rFonts w:ascii="Liberation Sans" w:hAnsi="Liberation Sans" w:eastAsia="WenQuanYi Micro Hei"/>
          <w:lang w:val="en-US" w:eastAsia="zh-CN"/>
        </w:rPr>
        <w:t xml:space="preserve">；</w:t>
      </w:r>
      <w:hyperlink r:id="link3">
        <w:r>
          <w:rPr>
            <w:rFonts w:ascii="Liberation Sans" w:hAnsi="Liberation Sans" w:eastAsia="WenQuanYi Micro Hei"/>
            <w:lang w:val="en-US" w:eastAsia="zh-CN"/>
            <w:color w:val="17798A"/>
          </w:rPr>
          <w:t xml:space="preserve">CycleNet 官方仓库</w:t>
        </w:r>
      </w:hyperlink>
      <w:r>
        <w:rPr>
          <w:rFonts w:ascii="Liberation Sans" w:hAnsi="Liberation Sans" w:eastAsia="WenQuanYi Micro Hei"/>
          <w:lang w:val="en-US" w:eastAsia="zh-CN"/>
        </w:rPr>
        <w:t xml:space="preserve">；</w:t>
      </w:r>
      <w:hyperlink r:id="link4">
        <w:r>
          <w:rPr>
            <w:rFonts w:ascii="Liberation Sans" w:hAnsi="Liberation Sans" w:eastAsia="WenQuanYi Micro Hei"/>
            <w:lang w:val="en-US" w:eastAsia="zh-CN"/>
            <w:color w:val="17798A"/>
          </w:rPr>
          <w:t xml:space="preserve">PatchTST 官方仓库</w:t>
        </w:r>
      </w:hyperlink>
      <w:r>
        <w:rPr>
          <w:rFonts w:ascii="Liberation Sans" w:hAnsi="Liberation Sans" w:eastAsia="WenQuanYi Micro Hei"/>
          <w:lang w:val="en-US" w:eastAsia="zh-CN"/>
        </w:rPr>
        <w:t xml:space="preserve">。这是未来对照计划，不表示已经运行或验证优于这些方法。</w:t>
      </w:r>
    </w:p>
    <w:p>
      <w:pPr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13 多 seed、漂移与资源证据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方法冻结后进行配对统计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基线与最终方法使用同一组 seed；可采用原论文 2025–2029 五 seed，2024 保留为探索筛选。先跑 GTR、最终方法及必要归因版本，再补完整机制消融。报告均值、标准差、逐 seed 差异和跨数据一致性。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单 seed 不声称统计显著。若使用配对置信区间或 bootstrap，要明确分析单位；重叠预测窗口不是独立样本，不能直接按窗口数量夸大置信度。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当前多轮查看过同一 ETTh1 测试结果，应作为探索性证据。后续选型和权重只用 train/val；冻结后增加未参与设计的新数据或 holdout 场景。多 seed 检验训练随机性，不能消除测试选择偏差。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可靠性故事的直接检验</w:t>
      </w:r>
    </w:p>
    <w:p>
      <w:pPr>
        <w:pStyle w:val="Bullet"/>
        <w:ind w:left="220" w:hanging="180"/>
      </w:pPr>
      <w:r>
        <w:rPr>
          <w:rFonts w:ascii="Liberation Sans" w:hAnsi="Liberation Sans" w:eastAsia="WenQuanYi Micro Hei"/>
          <w:lang w:val="en-US" w:eastAsia="zh-CN"/>
        </w:rPr>
        <w:t xml:space="preserve">•  自然测试区间分层：平稳、输入水平变化、趋势变化；分层规则依据训练统计或预测时可见输入预先定义。</w:t>
      </w:r>
    </w:p>
    <w:p>
      <w:pPr>
        <w:pStyle w:val="Bullet"/>
        <w:ind w:left="220" w:hanging="180"/>
      </w:pPr>
      <w:r>
        <w:rPr>
          <w:rFonts w:ascii="Liberation Sans" w:hAnsi="Liberation Sans" w:eastAsia="WenQuanYi Micro Hei"/>
          <w:lang w:val="en-US" w:eastAsia="zh-CN"/>
        </w:rPr>
        <w:t xml:space="preserve">•  每层报告 MSE/MAE、gate 分布、各库权重和检索带来改善/伤害的比例；best-model 验证/测试诊断单独统计。</w:t>
      </w:r>
    </w:p>
    <w:p>
      <w:pPr>
        <w:pStyle w:val="Bullet"/>
        <w:ind w:left="220" w:hanging="180"/>
      </w:pPr>
      <w:r>
        <w:rPr>
          <w:rFonts w:ascii="Liberation Sans" w:hAnsi="Liberation Sans" w:eastAsia="WenQuanYi Micro Hei"/>
          <w:lang w:val="en-US" w:eastAsia="zh-CN"/>
        </w:rPr>
        <w:t xml:space="preserve">•  再做固定输入噪声、异常点、水平/趋势变化压力测试。正常测试与压力测试分开报告，不能改原测试资产后沿用原 ID。</w:t>
      </w:r>
    </w:p>
    <w:p>
      <w:pPr>
        <w:pStyle w:val="Bullet"/>
        <w:ind w:left="220" w:hanging="180"/>
      </w:pPr>
      <w:r>
        <w:rPr>
          <w:rFonts w:ascii="Liberation Sans" w:hAnsi="Liberation Sans" w:eastAsia="WenQuanYi Micro Hei"/>
          <w:lang w:val="en-US" w:eastAsia="zh-CN"/>
        </w:rPr>
        <w:t xml:space="preserve">•  未来目标只能在评估后用于分析 oracle 或真实收益；推理与分层决策不得使用它。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复杂度与性价比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统计参数、历史库 buffer/存储、单 epoch/总训练时间、推理延迟、峰值显存；能可靠取得时再报告 FLOPs/MACs。当前观测显示检索有额外推理代价，不能因参数少宣称低成本。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严格速度比较采用同设备、同 batch、同精度、预热和 CUDA 同步；区分模型前向、数据读取和完整流程。优化候选索引缓存或计算布局时保持数值协议，不静默缩候选、缩模型或缩训练。</w:t>
      </w:r>
    </w:p>
    <w:p>
      <w:pPr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14 GPU 队列与失败恢复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已实现的调度机制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统一调度器后台运行、非阻塞轮询，最多三个实验。依据 GPU UUID、实时空闲显存、历史峰值与少量安全余量补位；能跑一个就跑一个，资源增加后再补，不能以虚假 tensor 囤积显存。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启动临界区用共享 flock 保护 GPU 选择、显存预留、任务登记与 PID 写入。恢复时重新登记收养的活任务，避免崩溃窗口漏算资源。记录每任务配置、日志、PID、状态、退出码和峰值。</w:t>
      </w:r>
    </w:p>
    <w:tbl>
      <w:tblPr>
        <w:tblW w:w="9638" w:type="dxa"/>
        <w:tblLayout w:type="fixed"/>
        <w:tblCellMar>
          <w:top w:w="65" w:type="dxa"/>
          <w:bottom w:w="65" w:type="dxa"/>
          <w:left w:w="105" w:type="dxa"/>
          <w:right w:w="105" w:type="dxa"/>
        </w:tblCellMar>
        <w:tblBorders>
          <w:top w:val="single" w:sz="4" w:color="D5DFE8"/>
          <w:left w:val="single" w:sz="4" w:color="D5DFE8"/>
          <w:bottom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3084"/>
        <w:gridCol w:w="6554"/>
      </w:tblGrid>
      <w:tr>
        <w:trPr>
          <w:cantSplit/>
          <w:tblHeader/>
        </w:trPr>
        <w:tc>
          <w:tcPr>
            <w:tcW w:w="3084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状态/错误</w:t>
            </w:r>
          </w:p>
        </w:tc>
        <w:tc>
          <w:tcPr>
            <w:tcW w:w="6554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处理</w:t>
            </w:r>
          </w:p>
        </w:tc>
      </w:tr>
      <w:tr>
        <w:trPr>
          <w:cantSplit/>
        </w:trPr>
        <w:tc>
          <w:tcPr>
            <w:tcW w:w="3084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SUCCESS</w:t>
            </w:r>
          </w:p>
        </w:tc>
        <w:tc>
          <w:tcPr>
            <w:tcW w:w="6554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保存指标，归档并自动汇总，不重复启动</w:t>
            </w:r>
          </w:p>
        </w:tc>
      </w:tr>
      <w:tr>
        <w:trPr>
          <w:cantSplit/>
        </w:trPr>
        <w:tc>
          <w:tcPr>
            <w:tcW w:w="3084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OOM</w:t>
            </w:r>
          </w:p>
        </w:tc>
        <w:tc>
          <w:tcPr>
            <w:tcW w:w="6554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清理自身进程，更新估计与次数，指数退避回队列</w:t>
            </w:r>
          </w:p>
        </w:tc>
      </w:tr>
      <w:tr>
        <w:trPr>
          <w:cantSplit/>
        </w:trPr>
        <w:tc>
          <w:tcPr>
            <w:tcW w:w="3084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WAITING_RESOURCE</w:t>
            </w:r>
          </w:p>
        </w:tc>
        <w:tc>
          <w:tcPr>
            <w:tcW w:w="6554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保留队列、低频等待，不占 GPU</w:t>
            </w:r>
          </w:p>
        </w:tc>
      </w:tr>
      <w:tr>
        <w:trPr>
          <w:cantSplit/>
        </w:trPr>
        <w:tc>
          <w:tcPr>
            <w:tcW w:w="3084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DATA / CONFIG / CODE_ERROR</w:t>
            </w:r>
          </w:p>
        </w:tc>
        <w:tc>
          <w:tcPr>
            <w:tcW w:w="6554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定位修复；新 ID 与 smoke 后再启动，不无限重跑</w:t>
            </w:r>
          </w:p>
        </w:tc>
      </w:tr>
      <w:tr>
        <w:trPr>
          <w:cantSplit/>
        </w:trPr>
        <w:tc>
          <w:tcPr>
            <w:tcW w:w="3084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NAN_OR_DIVERGENCE</w:t>
            </w:r>
          </w:p>
        </w:tc>
        <w:tc>
          <w:tcPr>
            <w:tcW w:w="6554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保存最后状态，诊断数值问题</w:t>
            </w:r>
          </w:p>
        </w:tc>
      </w:tr>
      <w:tr>
        <w:trPr>
          <w:cantSplit/>
        </w:trPr>
        <w:tc>
          <w:tcPr>
            <w:tcW w:w="3084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EXTERNAL_KILL</w:t>
            </w:r>
          </w:p>
        </w:tc>
        <w:tc>
          <w:tcPr>
            <w:tcW w:w="6554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完整兼容 checkpoint 才可恢复</w:t>
            </w:r>
          </w:p>
        </w:tc>
      </w:tr>
      <w:tr>
        <w:trPr>
          <w:cantSplit/>
        </w:trPr>
        <w:tc>
          <w:tcPr>
            <w:tcW w:w="3084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UNKNOWN_ERROR</w:t>
            </w:r>
          </w:p>
        </w:tc>
        <w:tc>
          <w:tcPr>
            <w:tcW w:w="6554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保存错误，有限诊断后暂停该任务</w:t>
            </w:r>
          </w:p>
        </w:tc>
      </w:tr>
    </w:tbl>
    <w:p>
      <w:pPr>
        <w:pStyle w:val="TableAfter"/>
      </w:pP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OOM 重试要求比上次启动时更多空闲显存或更大 GPU，不用清理后显存误作参照；退避记录 next_eligible_time，较多失败转长期资源等待。只管理本用户确认归属的进程。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可用操作与当前状态</w:t>
      </w:r>
    </w:p>
    <w:p>
      <w:pPr>
        <w:pStyle w:val="Code"/>
      </w:pPr>
      <w:r>
        <w:rPr>
          <w:rFonts w:ascii="DejaVu Sans Mono" w:hAnsi="DejaVu Sans Mono" w:eastAsia="WenQuanYi Micro Hei"/>
          <w:lang w:val="en-US" w:eastAsia="zh-CN"/>
          <w:sz w:val="17"/>
          <w:shd w:fill="EEF3F7" w:val="clear"/>
        </w:rPr>
        <w:t xml:space="preserve">cd /mnt/data/zza/code/TrustGTR</w:t>
      </w:r>
    </w:p>
    <w:p>
      <w:pPr>
        <w:pStyle w:val="Code"/>
      </w:pPr>
      <w:r>
        <w:rPr>
          <w:rFonts w:ascii="DejaVu Sans Mono" w:hAnsi="DejaVu Sans Mono" w:eastAsia="WenQuanYi Micro Hei"/>
          <w:lang w:val="en-US" w:eastAsia="zh-CN"/>
          <w:sz w:val="17"/>
          <w:shd w:fill="EEF3F7" w:val="clear"/>
        </w:rPr>
        <w:t xml:space="preserve">bash scripts/queue.sh status configs/queue_historical_v5.json</w:t>
      </w:r>
    </w:p>
    <w:p>
      <w:pPr>
        <w:pStyle w:val="Code"/>
      </w:pPr>
      <w:r>
        <w:rPr>
          <w:rFonts w:ascii="DejaVu Sans Mono" w:hAnsi="DejaVu Sans Mono" w:eastAsia="WenQuanYi Micro Hei"/>
          <w:lang w:val="en-US" w:eastAsia="zh-CN"/>
          <w:sz w:val="17"/>
          <w:shd w:fill="EEF3F7" w:val="clear"/>
        </w:rPr>
        <w:t xml:space="preserve">tail -f runtime/queue.log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当前 v5 已 COMPLETED，队列累计 11 项成功，包含沿用 baseline/smoke；无待跑和运行任务。start/stop/resume 接口保留给后续队列。最新十项 CPU 假任务测试全部通过，未分配 GPU；不修改正式 batch/epoch 来适配资源。</w:t>
      </w:r>
    </w:p>
    <w:p>
      <w:pPr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15 环境、代码与结果还原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独立环境与版本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环境前缀 </w:t>
      </w:r>
      <w:r>
        <w:rPr>
          <w:rFonts w:ascii="DejaVu Sans Mono" w:hAnsi="DejaVu Sans Mono" w:eastAsia="WenQuanYi Micro Hei"/>
          <w:lang w:val="en-US" w:eastAsia="zh-CN"/>
          <w:sz w:val="17"/>
          <w:shd w:fill="EEF3F7" w:val="clear"/>
        </w:rPr>
        <w:t xml:space="preserve">.conda</w:t>
      </w:r>
      <w:r>
        <w:rPr>
          <w:rFonts w:ascii="Liberation Sans" w:hAnsi="Liberation Sans" w:eastAsia="WenQuanYi Micro Hei"/>
          <w:lang w:val="en-US" w:eastAsia="zh-CN"/>
        </w:rPr>
        <w:t xml:space="preserve">：Python 3.10.13、torch 2.0.1+cu118、CUDA runtime 11.8、numpy 1.24.4、pandas 1.5.3、scikit-learn 1.3.2、PyYAML 6.0.2。依赖锁文件位于 configs。驱动显示 CUDA 12.2 不等于必须安装对应 Toolkit。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原始 commit 为 </w:t>
      </w:r>
      <w:r>
        <w:rPr>
          <w:rFonts w:ascii="DejaVu Sans Mono" w:hAnsi="DejaVu Sans Mono" w:eastAsia="WenQuanYi Micro Hei"/>
          <w:lang w:val="en-US" w:eastAsia="zh-CN"/>
          <w:sz w:val="17"/>
          <w:shd w:fill="EEF3F7" w:val="clear"/>
        </w:rPr>
        <w:t xml:space="preserve">d94161906151bdc0c94f4d21c2b0ca356aeb3135</w:t>
      </w:r>
      <w:r>
        <w:rPr>
          <w:rFonts w:ascii="Liberation Sans" w:hAnsi="Liberation Sans" w:eastAsia="WenQuanYi Micro Hei"/>
          <w:lang w:val="en-US" w:eastAsia="zh-CN"/>
        </w:rPr>
        <w:t xml:space="preserve">。原始 tracked 源文件未修改；新增代码未自动 commit/push，每 run 保存额外代码快照及 hash。</w:t>
      </w:r>
    </w:p>
    <w:tbl>
      <w:tblPr>
        <w:tblW w:w="9638" w:type="dxa"/>
        <w:tblLayout w:type="fixed"/>
        <w:tblCellMar>
          <w:top w:w="65" w:type="dxa"/>
          <w:bottom w:w="65" w:type="dxa"/>
          <w:left w:w="105" w:type="dxa"/>
          <w:right w:w="105" w:type="dxa"/>
        </w:tblCellMar>
        <w:tblBorders>
          <w:top w:val="single" w:sz="4" w:color="D5DFE8"/>
          <w:left w:val="single" w:sz="4" w:color="D5DFE8"/>
          <w:bottom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4529"/>
        <w:gridCol w:w="5109"/>
      </w:tblGrid>
      <w:tr>
        <w:trPr>
          <w:cantSplit/>
          <w:tblHeader/>
        </w:trPr>
        <w:tc>
          <w:tcPr>
            <w:tcW w:w="4529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位置</w:t>
            </w:r>
          </w:p>
        </w:tc>
        <w:tc>
          <w:tcPr>
            <w:tcW w:w="5109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用途</w:t>
            </w:r>
          </w:p>
        </w:tc>
      </w:tr>
      <w:tr>
        <w:trPr>
          <w:cantSplit/>
        </w:trPr>
        <w:tc>
          <w:tcPr>
            <w:tcW w:w="452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models/GTR.py</w:t>
            </w:r>
          </w:p>
        </w:tc>
        <w:tc>
          <w:tcPr>
            <w:tcW w:w="510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保留的原模型</w:t>
            </w:r>
          </w:p>
        </w:tc>
      </w:tr>
      <w:tr>
        <w:trPr>
          <w:cantSplit/>
        </w:trPr>
        <w:tc>
          <w:tcPr>
            <w:tcW w:w="452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models/TrustGTR.py / HistoricalMemory.py</w:t>
            </w:r>
          </w:p>
        </w:tc>
        <w:tc>
          <w:tcPr>
            <w:tcW w:w="510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A/B/C 与静态历史库</w:t>
            </w:r>
          </w:p>
        </w:tc>
      </w:tr>
      <w:tr>
        <w:trPr>
          <w:cantSplit/>
        </w:trPr>
        <w:tc>
          <w:tcPr>
            <w:tcW w:w="452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exp/exp_repro.py</w:t>
            </w:r>
          </w:p>
        </w:tc>
        <w:tc>
          <w:tcPr>
            <w:tcW w:w="510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官方循环观察、原子保存与恢复</w:t>
            </w:r>
          </w:p>
        </w:tc>
      </w:tr>
      <w:tr>
        <w:trPr>
          <w:cantSplit/>
        </w:trPr>
        <w:tc>
          <w:tcPr>
            <w:tcW w:w="452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scripts/run_experiment.py</w:t>
            </w:r>
          </w:p>
        </w:tc>
        <w:tc>
          <w:tcPr>
            <w:tcW w:w="510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官方同协议入口</w:t>
            </w:r>
          </w:p>
        </w:tc>
      </w:tr>
      <w:tr>
        <w:trPr>
          <w:cantSplit/>
        </w:trPr>
        <w:tc>
          <w:tcPr>
            <w:tcW w:w="452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scripts/run_trust_experiment.py</w:t>
            </w:r>
          </w:p>
        </w:tc>
        <w:tc>
          <w:tcPr>
            <w:tcW w:w="510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创新入口、绝对相位、训练库绑定</w:t>
            </w:r>
          </w:p>
        </w:tc>
      </w:tr>
      <w:tr>
        <w:trPr>
          <w:cantSplit/>
        </w:trPr>
        <w:tc>
          <w:tcPr>
            <w:tcW w:w="452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scripts/experiment_queue.py / queue.sh</w:t>
            </w:r>
          </w:p>
        </w:tc>
        <w:tc>
          <w:tcPr>
            <w:tcW w:w="510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后台调度及 status/stop/resume</w:t>
            </w:r>
          </w:p>
        </w:tc>
      </w:tr>
      <w:tr>
        <w:trPr>
          <w:cantSplit/>
        </w:trPr>
        <w:tc>
          <w:tcPr>
            <w:tcW w:w="452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artifacts/evaluation/</w:t>
            </w:r>
          </w:p>
        </w:tc>
        <w:tc>
          <w:tcPr>
            <w:tcW w:w="510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固定 split、scaler 与校验资产</w:t>
            </w:r>
          </w:p>
        </w:tc>
      </w:tr>
      <w:tr>
        <w:trPr>
          <w:cantSplit/>
        </w:trPr>
        <w:tc>
          <w:tcPr>
            <w:tcW w:w="452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runs/ / reports/</w:t>
            </w:r>
          </w:p>
        </w:tc>
        <w:tc>
          <w:tcPr>
            <w:tcW w:w="510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唯一实验与自动结果表</w:t>
            </w:r>
          </w:p>
        </w:tc>
      </w:tr>
    </w:tbl>
    <w:p>
      <w:pPr>
        <w:pStyle w:val="TableAfter"/>
      </w:pP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每正式 run 保存 resolved_config.yaml、command.sh、env.txt、git_state.txt、code.diff、train.log、metrics.json、status.json、resource_usage.json、checkpoints、untracked_code 与 code_manifest。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last.pt 包括 model/optimizer/scheduler/早停/epoch/global step/最佳状态及随机状态，原子写入并检查。只从完整 epoch、相同科学指纹恢复；不兼容或损坏则新 ID 从头开始，预算不变。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历史数据 buffer 不进 state_dict；恢复先用同一训练资产重新绑定并核对 hash。ETTh1.csv / solar_AL.txt 复用已有公开数据副本，已核对 SHA256；未另行证明与上游逐字节一致，来源与 hash 保留在配置中。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GPU 曾核对逻辑 0=4090、逻辑 1=4080，启动仍使用 UUID。偏差简明记录位于 </w:t>
      </w:r>
      <w:r>
        <w:rPr>
          <w:rFonts w:ascii="DejaVu Sans Mono" w:hAnsi="DejaVu Sans Mono" w:eastAsia="WenQuanYi Micro Hei"/>
          <w:lang w:val="en-US" w:eastAsia="zh-CN"/>
          <w:sz w:val="17"/>
          <w:shd w:fill="EEF3F7" w:val="clear"/>
        </w:rPr>
        <w:t xml:space="preserve">/mnt/data/zza/code/badandgood/TrustGTR.md</w:t>
      </w:r>
      <w:r>
        <w:rPr>
          <w:rFonts w:ascii="Liberation Sans" w:hAnsi="Liberation Sans" w:eastAsia="WenQuanYi Micro Hei"/>
          <w:lang w:val="en-US" w:eastAsia="zh-CN"/>
        </w:rPr>
        <w:t xml:space="preserve">。</w:t>
      </w:r>
    </w:p>
    <w:p>
      <w:pPr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16 里程碑、完成判据与交付</w:t>
      </w:r>
    </w:p>
    <w:tbl>
      <w:tblPr>
        <w:tblW w:w="9638" w:type="dxa"/>
        <w:tblLayout w:type="fixed"/>
        <w:tblCellMar>
          <w:top w:w="65" w:type="dxa"/>
          <w:bottom w:w="65" w:type="dxa"/>
          <w:left w:w="105" w:type="dxa"/>
          <w:right w:w="105" w:type="dxa"/>
        </w:tblCellMar>
        <w:tblBorders>
          <w:top w:val="single" w:sz="4" w:color="D5DFE8"/>
          <w:left w:val="single" w:sz="4" w:color="D5DFE8"/>
          <w:bottom w:val="single" w:sz="4" w:color="D5DFE8"/>
          <w:right w:val="single" w:sz="4" w:color="D5DFE8"/>
          <w:insideH w:val="single" w:sz="4" w:color="D5DFE8"/>
          <w:insideV w:val="single" w:sz="4" w:color="D5DFE8"/>
        </w:tblBorders>
      </w:tblPr>
      <w:tblGrid>
        <w:gridCol w:w="1349"/>
        <w:gridCol w:w="2120"/>
        <w:gridCol w:w="6169"/>
      </w:tblGrid>
      <w:tr>
        <w:trPr>
          <w:cantSplit/>
          <w:tblHeader/>
        </w:trPr>
        <w:tc>
          <w:tcPr>
            <w:tcW w:w="1349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里程碑</w:t>
            </w:r>
          </w:p>
        </w:tc>
        <w:tc>
          <w:tcPr>
            <w:tcW w:w="2120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当前状态</w:t>
            </w:r>
          </w:p>
        </w:tc>
        <w:tc>
          <w:tcPr>
            <w:tcW w:w="6169" w:type="dxa"/>
            <w:vAlign w:val="center"/>
            <w:shd w:fill="193B52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b/>
                <w:sz w:val="18"/>
                <w:szCs w:val="18"/>
                <w:color w:val="FFFFFF"/>
              </w:rPr>
              <w:t xml:space="preserve">可审查完成判据</w:t>
            </w:r>
          </w:p>
        </w:tc>
      </w:tr>
      <w:tr>
        <w:trPr>
          <w:cantSplit/>
        </w:trPr>
        <w:tc>
          <w:tcPr>
            <w:tcW w:w="134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M1 快速复现</w:t>
            </w:r>
          </w:p>
        </w:tc>
        <w:tc>
          <w:tcPr>
            <w:tcW w:w="2120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已完成</w:t>
            </w:r>
          </w:p>
        </w:tc>
        <w:tc>
          <w:tcPr>
            <w:tcW w:w="616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独立环境、两数据集、官方基线和固定资产可还原</w:t>
            </w:r>
          </w:p>
        </w:tc>
      </w:tr>
      <w:tr>
        <w:trPr>
          <w:cantSplit/>
        </w:trPr>
        <w:tc>
          <w:tcPr>
            <w:tcW w:w="134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M2 新版归因</w:t>
            </w:r>
          </w:p>
        </w:tc>
        <w:tc>
          <w:tcPr>
            <w:tcW w:w="2120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部分完成</w:t>
            </w:r>
          </w:p>
        </w:tc>
        <w:tc>
          <w:tcPr>
            <w:tcW w:w="616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ETTh1/Solar 同版矩阵齐全，A/B/C 作用可区分</w:t>
            </w:r>
          </w:p>
        </w:tc>
      </w:tr>
      <w:tr>
        <w:trPr>
          <w:cantSplit/>
        </w:trPr>
        <w:tc>
          <w:tcPr>
            <w:tcW w:w="134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M3 方法冻结</w:t>
            </w:r>
          </w:p>
        </w:tc>
        <w:tc>
          <w:tcPr>
            <w:tcW w:w="2120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待完成</w:t>
            </w:r>
          </w:p>
        </w:tc>
        <w:tc>
          <w:tcPr>
            <w:tcW w:w="616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验证集选型、配置与代码冻结，基线回归通过</w:t>
            </w:r>
          </w:p>
        </w:tc>
      </w:tr>
      <w:tr>
        <w:trPr>
          <w:cantSplit/>
        </w:trPr>
        <w:tc>
          <w:tcPr>
            <w:tcW w:w="134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M4 稳定性</w:t>
            </w:r>
          </w:p>
        </w:tc>
        <w:tc>
          <w:tcPr>
            <w:tcW w:w="2120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待完成</w:t>
            </w:r>
          </w:p>
        </w:tc>
        <w:tc>
          <w:tcPr>
            <w:tcW w:w="616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配对多 seed、均值/波动、必要消融和全部原始结果</w:t>
            </w:r>
          </w:p>
        </w:tc>
      </w:tr>
      <w:tr>
        <w:trPr>
          <w:cantSplit/>
        </w:trPr>
        <w:tc>
          <w:tcPr>
            <w:tcW w:w="134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M5 强对照与机制</w:t>
            </w:r>
          </w:p>
        </w:tc>
        <w:tc>
          <w:tcPr>
            <w:tcW w:w="2120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待完成</w:t>
            </w:r>
          </w:p>
        </w:tc>
        <w:tc>
          <w:tcPr>
            <w:tcW w:w="6169" w:type="dxa"/>
            <w:vAlign w:val="center"/>
            <w:shd w:fill="F0F5F8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少量强基线、额外场景、漂移与资源代价</w:t>
            </w:r>
          </w:p>
        </w:tc>
      </w:tr>
      <w:tr>
        <w:trPr>
          <w:cantSplit/>
        </w:trPr>
        <w:tc>
          <w:tcPr>
            <w:tcW w:w="134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M6 论文论证</w:t>
            </w:r>
          </w:p>
        </w:tc>
        <w:tc>
          <w:tcPr>
            <w:tcW w:w="2120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条件性开展</w:t>
            </w:r>
          </w:p>
        </w:tc>
        <w:tc>
          <w:tcPr>
            <w:tcW w:w="6169" w:type="dxa"/>
            <w:vAlign w:val="center"/>
            <w:shd w:fill="FFFFFF" w:val="clear"/>
          </w:tcPr>
          <w:p>
            <w:pPr>
              <w:pStyle w:val="TableText"/>
            </w:pPr>
            <w:r>
              <w:rPr>
                <w:rFonts w:ascii="Liberation Sans" w:hAnsi="Liberation Sans" w:eastAsia="WenQuanYi Micro Hei"/>
                <w:lang w:val="en-US" w:eastAsia="zh-CN"/>
                <w:sz w:val="18"/>
                <w:szCs w:val="18"/>
                <w:color w:val="20313F"/>
              </w:rPr>
              <w:t xml:space="preserve">独立贡献与证据链足以支持研究主张</w:t>
            </w:r>
          </w:p>
        </w:tc>
      </w:tr>
    </w:tbl>
    <w:p>
      <w:pPr>
        <w:pStyle w:val="TableAfter"/>
      </w:pP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当前共有 </w:t>
      </w:r>
      <w:r>
        <w:rPr>
          <w:rFonts w:ascii="Liberation Sans" w:hAnsi="Liberation Sans" w:eastAsia="WenQuanYi Micro Hei"/>
          <w:lang w:val="en-US" w:eastAsia="zh-CN"/>
          <w:b/>
        </w:rPr>
        <w:t xml:space="preserve">23 个成功正式实验</w:t>
      </w:r>
      <w:r>
        <w:rPr>
          <w:rFonts w:ascii="Liberation Sans" w:hAnsi="Liberation Sans" w:eastAsia="WenQuanYi Micro Hei"/>
          <w:lang w:val="en-US" w:eastAsia="zh-CN"/>
        </w:rPr>
        <w:t xml:space="preserve">，其中两个 baseline；另有 </w:t>
      </w:r>
      <w:r>
        <w:rPr>
          <w:rFonts w:ascii="Liberation Sans" w:hAnsi="Liberation Sans" w:eastAsia="WenQuanYi Micro Hei"/>
          <w:lang w:val="en-US" w:eastAsia="zh-CN"/>
          <w:b/>
        </w:rPr>
        <w:t xml:space="preserve">28 个成功 smoke</w:t>
      </w:r>
      <w:r>
        <w:rPr>
          <w:rFonts w:ascii="Liberation Sans" w:hAnsi="Liberation Sans" w:eastAsia="WenQuanYi Micro Hei"/>
          <w:lang w:val="en-US" w:eastAsia="zh-CN"/>
        </w:rPr>
        <w:t xml:space="preserve">。保留 </w:t>
      </w:r>
      <w:r>
        <w:rPr>
          <w:rFonts w:ascii="Liberation Sans" w:hAnsi="Liberation Sans" w:eastAsia="WenQuanYi Micro Hei"/>
          <w:lang w:val="en-US" w:eastAsia="zh-CN"/>
          <w:b/>
        </w:rPr>
        <w:t xml:space="preserve">2 个 CODE_ERROR 记录</w:t>
      </w:r>
      <w:r>
        <w:rPr>
          <w:rFonts w:ascii="Liberation Sans" w:hAnsi="Liberation Sans" w:eastAsia="WenQuanYi Micro Hei"/>
          <w:lang w:val="en-US" w:eastAsia="zh-CN"/>
        </w:rPr>
        <w:t xml:space="preserve">，含未启动依赖任务。它们是执行记录，不是创新成功率或统计样本量。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决策与失败分支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单 seed 用于筛方向；两项指标与不同数据上的趋势、独立模块收益和成本共同决定是否扩大。未形成价值时返回候选质量、状态监督或校准机制，保留 A/B/C，不通过更多预算掩盖问题。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遇到数据、代码或配置错误先修根因；资源等待不是方法失败。若可靠性门控持续无增益，保留负结果并重新设计其监督和输入，不把它包装为已证实贡献。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执行与交付方式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代码、配置、诊断和授权实验由项目代理直接完成；用户只在涉及资源授权、目标改变或不可逆操作时介入。按工作批次推进，不承诺依赖共享 GPU 的固定完成日期。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每阶段交付：关键改动、配置差异、命令与退出状态、指标和成本、证据路径、继续/调整的判断及下一步。最终研究交付应包含可还原代码与环境、数据资产索引、全部结果表、完整消融和方法局限。</w:t>
      </w:r>
    </w:p>
    <w:p>
      <w:pPr>
        <w:spacing w:before="0" w:after="0" w:line="20" w:lineRule="exact"/>
      </w:pPr>
      <w:r>
        <w:br w:type="page"/>
      </w:r>
    </w:p>
    <w:p>
      <w:pPr>
        <w:pStyle w:val="Heading1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17 来源与关键实验索引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外部来源</w:t>
      </w:r>
    </w:p>
    <w:p>
      <w:pPr>
        <w:pStyle w:val="Bullet"/>
        <w:ind w:left="220" w:hanging="180"/>
      </w:pPr>
      <w:r>
        <w:rPr>
          <w:rFonts w:ascii="Liberation Sans" w:hAnsi="Liberation Sans" w:eastAsia="WenQuanYi Micro Hei"/>
          <w:lang w:val="en-US" w:eastAsia="zh-CN"/>
        </w:rPr>
        <w:t xml:space="preserve">•  </w:t>
      </w:r>
      <w:hyperlink r:id="link5">
        <w:r>
          <w:rPr>
            <w:rFonts w:ascii="Liberation Sans" w:hAnsi="Liberation Sans" w:eastAsia="WenQuanYi Micro Hei"/>
            <w:lang w:val="en-US" w:eastAsia="zh-CN"/>
            <w:color w:val="17798A"/>
          </w:rPr>
          <w:t xml:space="preserve">GTR 官方仓库与 README</w:t>
        </w:r>
      </w:hyperlink>
      <w:r>
        <w:rPr>
          <w:rFonts w:ascii="Liberation Sans" w:hAnsi="Liberation Sans" w:eastAsia="WenQuanYi Micro Hei"/>
          <w:lang w:val="en-US" w:eastAsia="zh-CN"/>
        </w:rPr>
        <w:t xml:space="preserve">：原结构、安装和运行入口。</w:t>
      </w:r>
    </w:p>
    <w:p>
      <w:pPr>
        <w:pStyle w:val="Bullet"/>
        <w:ind w:left="220" w:hanging="180"/>
      </w:pPr>
      <w:r>
        <w:rPr>
          <w:rFonts w:ascii="Liberation Sans" w:hAnsi="Liberation Sans" w:eastAsia="WenQuanYi Micro Hei"/>
          <w:lang w:val="en-US" w:eastAsia="zh-CN"/>
        </w:rPr>
        <w:t xml:space="preserve">•  </w:t>
      </w:r>
      <w:hyperlink r:id="link6">
        <w:r>
          <w:rPr>
            <w:rFonts w:ascii="Liberation Sans" w:hAnsi="Liberation Sans" w:eastAsia="WenQuanYi Micro Hei"/>
            <w:lang w:val="en-US" w:eastAsia="zh-CN"/>
            <w:color w:val="17798A"/>
          </w:rPr>
          <w:t xml:space="preserve">GTR 论文</w:t>
        </w:r>
      </w:hyperlink>
      <w:r>
        <w:rPr>
          <w:rFonts w:ascii="Liberation Sans" w:hAnsi="Liberation Sans" w:eastAsia="WenQuanYi Micro Hei"/>
          <w:lang w:val="en-US" w:eastAsia="zh-CN"/>
        </w:rPr>
        <w:t xml:space="preserve">：Enhancing Multivariate Time Series Forecasting with Global Temporal Retrieval。</w:t>
      </w:r>
    </w:p>
    <w:p>
      <w:pPr>
        <w:pStyle w:val="Bullet"/>
        <w:ind w:left="220" w:hanging="180"/>
      </w:pPr>
      <w:r>
        <w:rPr>
          <w:rFonts w:ascii="Liberation Sans" w:hAnsi="Liberation Sans" w:eastAsia="WenQuanYi Micro Hei"/>
          <w:lang w:val="en-US" w:eastAsia="zh-CN"/>
        </w:rPr>
        <w:t xml:space="preserve">•  </w:t>
      </w:r>
      <w:hyperlink r:id="link7">
        <w:r>
          <w:rPr>
            <w:rFonts w:ascii="Liberation Sans" w:hAnsi="Liberation Sans" w:eastAsia="WenQuanYi Micro Hei"/>
            <w:lang w:val="en-US" w:eastAsia="zh-CN"/>
            <w:color w:val="17798A"/>
          </w:rPr>
          <w:t xml:space="preserve">GTR OpenReview 页面</w:t>
        </w:r>
      </w:hyperlink>
      <w:r>
        <w:rPr>
          <w:rFonts w:ascii="Liberation Sans" w:hAnsi="Liberation Sans" w:eastAsia="WenQuanYi Micro Hei"/>
          <w:lang w:val="en-US" w:eastAsia="zh-CN"/>
        </w:rPr>
        <w:t xml:space="preserve">：原论文信息；本文不据此预判本项目投稿结果。</w:t>
      </w:r>
    </w:p>
    <w:p>
      <w:pPr>
        <w:pStyle w:val="Bullet"/>
        <w:ind w:left="220" w:hanging="180"/>
      </w:pPr>
      <w:r>
        <w:rPr>
          <w:rFonts w:ascii="Liberation Sans" w:hAnsi="Liberation Sans" w:eastAsia="WenQuanYi Micro Hei"/>
          <w:lang w:val="en-US" w:eastAsia="zh-CN"/>
        </w:rPr>
        <w:t xml:space="preserve">•  </w:t>
      </w:r>
      <w:hyperlink r:id="link8">
        <w:r>
          <w:rPr>
            <w:rFonts w:ascii="Liberation Sans" w:hAnsi="Liberation Sans" w:eastAsia="WenQuanYi Micro Hei"/>
            <w:lang w:val="en-US" w:eastAsia="zh-CN"/>
            <w:color w:val="17798A"/>
          </w:rPr>
          <w:t xml:space="preserve">DLinear</w:t>
        </w:r>
      </w:hyperlink>
      <w:r>
        <w:rPr>
          <w:rFonts w:ascii="Liberation Sans" w:hAnsi="Liberation Sans" w:eastAsia="WenQuanYi Micro Hei"/>
          <w:lang w:val="en-US" w:eastAsia="zh-CN"/>
        </w:rPr>
        <w:t xml:space="preserve">、</w:t>
      </w:r>
      <w:hyperlink r:id="link9">
        <w:r>
          <w:rPr>
            <w:rFonts w:ascii="Liberation Sans" w:hAnsi="Liberation Sans" w:eastAsia="WenQuanYi Micro Hei"/>
            <w:lang w:val="en-US" w:eastAsia="zh-CN"/>
            <w:color w:val="17798A"/>
          </w:rPr>
          <w:t xml:space="preserve">CycleNet</w:t>
        </w:r>
      </w:hyperlink>
      <w:r>
        <w:rPr>
          <w:rFonts w:ascii="Liberation Sans" w:hAnsi="Liberation Sans" w:eastAsia="WenQuanYi Micro Hei"/>
          <w:lang w:val="en-US" w:eastAsia="zh-CN"/>
        </w:rPr>
        <w:t xml:space="preserve">、</w:t>
      </w:r>
      <w:hyperlink r:id="link10">
        <w:r>
          <w:rPr>
            <w:rFonts w:ascii="Liberation Sans" w:hAnsi="Liberation Sans" w:eastAsia="WenQuanYi Micro Hei"/>
            <w:lang w:val="en-US" w:eastAsia="zh-CN"/>
            <w:color w:val="17798A"/>
          </w:rPr>
          <w:t xml:space="preserve">PatchTST</w:t>
        </w:r>
      </w:hyperlink>
      <w:r>
        <w:rPr>
          <w:rFonts w:ascii="Liberation Sans" w:hAnsi="Liberation Sans" w:eastAsia="WenQuanYi Micro Hei"/>
          <w:lang w:val="en-US" w:eastAsia="zh-CN"/>
        </w:rPr>
        <w:t xml:space="preserve">：未来外部基线的官方来源。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可定位的正式 run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以下 ID 均位于项目 </w:t>
      </w:r>
      <w:r>
        <w:rPr>
          <w:rFonts w:ascii="DejaVu Sans Mono" w:hAnsi="DejaVu Sans Mono" w:eastAsia="WenQuanYi Micro Hei"/>
          <w:lang w:val="en-US" w:eastAsia="zh-CN"/>
          <w:sz w:val="17"/>
          <w:shd w:fill="EEF3F7" w:val="clear"/>
        </w:rPr>
        <w:t xml:space="preserve">runs/</w:t>
      </w:r>
      <w:r>
        <w:rPr>
          <w:rFonts w:ascii="Liberation Sans" w:hAnsi="Liberation Sans" w:eastAsia="WenQuanYi Micro Hei"/>
          <w:lang w:val="en-US" w:eastAsia="zh-CN"/>
        </w:rPr>
        <w:t xml:space="preserve"> 下，读取 metrics.json；详细配置读取 resolved_config.yaml。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GTR ETTh1：</w:t>
      </w:r>
      <w:r>
        <w:rPr>
          <w:rFonts w:ascii="DejaVu Sans Mono" w:hAnsi="DejaVu Sans Mono" w:eastAsia="WenQuanYi Micro Hei"/>
          <w:lang w:val="en-US" w:eastAsia="zh-CN"/>
          <w:sz w:val="17"/>
          <w:shd w:fill="EEF3F7" w:val="clear"/>
        </w:rPr>
        <w:t xml:space="preserve">gtr__etth1__forecast__t96_h96__seed2024__20261004_214520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GTR Solar：</w:t>
      </w:r>
      <w:r>
        <w:rPr>
          <w:rFonts w:ascii="DejaVu Sans Mono" w:hAnsi="DejaVu Sans Mono" w:eastAsia="WenQuanYi Micro Hei"/>
          <w:lang w:val="en-US" w:eastAsia="zh-CN"/>
          <w:sz w:val="17"/>
          <w:shd w:fill="EEF3F7" w:val="clear"/>
        </w:rPr>
        <w:t xml:space="preserve">gtr__solar__forecast__t96_h96__seed2024__20261004_214520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A5：</w:t>
      </w:r>
      <w:r>
        <w:rPr>
          <w:rFonts w:ascii="DejaVu Sans Mono" w:hAnsi="DejaVu Sans Mono" w:eastAsia="WenQuanYi Micro Hei"/>
          <w:lang w:val="en-US" w:eastAsia="zh-CN"/>
          <w:sz w:val="17"/>
          <w:shd w:fill="EEF3F7" w:val="clear"/>
        </w:rPr>
        <w:t xml:space="preserve">trustgtr_a5__etth1__forecast__t96_h96__seed2024__20261005_110620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AB5：</w:t>
      </w:r>
      <w:r>
        <w:rPr>
          <w:rFonts w:ascii="DejaVu Sans Mono" w:hAnsi="DejaVu Sans Mono" w:eastAsia="WenQuanYi Micro Hei"/>
          <w:lang w:val="en-US" w:eastAsia="zh-CN"/>
          <w:sz w:val="17"/>
          <w:shd w:fill="EEF3F7" w:val="clear"/>
        </w:rPr>
        <w:t xml:space="preserve">trustgtr_ab5__etth1__forecast__t96_h96__seed2024__20261005_110620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ABC5：</w:t>
      </w:r>
      <w:r>
        <w:rPr>
          <w:rFonts w:ascii="DejaVu Sans Mono" w:hAnsi="DejaVu Sans Mono" w:eastAsia="WenQuanYi Micro Hei"/>
          <w:lang w:val="en-US" w:eastAsia="zh-CN"/>
          <w:sz w:val="17"/>
          <w:shd w:fill="EEF3F7" w:val="clear"/>
        </w:rPr>
        <w:t xml:space="preserve">trustgtr_abc5__etth1__forecast__t96_h96__seed2024__20261005_110620</w:t>
      </w:r>
    </w:p>
    <w:p>
      <w:pPr>
        <w:pStyle w:val="Heading2"/>
        <w:keepNext/>
      </w:pPr>
      <w:r>
        <w:rPr>
          <w:rFonts w:ascii="Liberation Sans" w:hAnsi="Liberation Sans" w:eastAsia="WenQuanYi Micro Hei"/>
          <w:lang w:val="en-US" w:eastAsia="zh-CN"/>
        </w:rPr>
        <w:t xml:space="preserve">内部证据与文档维护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自动总表：</w:t>
      </w:r>
      <w:r>
        <w:rPr>
          <w:rFonts w:ascii="DejaVu Sans Mono" w:hAnsi="DejaVu Sans Mono" w:eastAsia="WenQuanYi Micro Hei"/>
          <w:lang w:val="en-US" w:eastAsia="zh-CN"/>
          <w:sz w:val="17"/>
          <w:shd w:fill="EEF3F7" w:val="clear"/>
        </w:rPr>
        <w:t xml:space="preserve">reports/latest_results.csv</w:t>
      </w:r>
      <w:r>
        <w:rPr>
          <w:rFonts w:ascii="Liberation Sans" w:hAnsi="Liberation Sans" w:eastAsia="WenQuanYi Micro Hei"/>
          <w:lang w:val="en-US" w:eastAsia="zh-CN"/>
        </w:rPr>
        <w:t xml:space="preserve">、</w:t>
      </w:r>
      <w:r>
        <w:rPr>
          <w:rFonts w:ascii="DejaVu Sans Mono" w:hAnsi="DejaVu Sans Mono" w:eastAsia="WenQuanYi Micro Hei"/>
          <w:lang w:val="en-US" w:eastAsia="zh-CN"/>
          <w:sz w:val="17"/>
          <w:shd w:fill="EEF3F7" w:val="clear"/>
        </w:rPr>
        <w:t xml:space="preserve">.md</w:t>
      </w:r>
      <w:r>
        <w:rPr>
          <w:rFonts w:ascii="Liberation Sans" w:hAnsi="Liberation Sans" w:eastAsia="WenQuanYi Micro Hei"/>
          <w:lang w:val="en-US" w:eastAsia="zh-CN"/>
        </w:rPr>
        <w:t xml:space="preserve">。诊断：</w:t>
      </w:r>
      <w:r>
        <w:rPr>
          <w:rFonts w:ascii="DejaVu Sans Mono" w:hAnsi="DejaVu Sans Mono" w:eastAsia="WenQuanYi Micro Hei"/>
          <w:lang w:val="en-US" w:eastAsia="zh-CN"/>
          <w:sz w:val="17"/>
          <w:shd w:fill="EEF3F7" w:val="clear"/>
        </w:rPr>
        <w:t xml:space="preserve">reports/retrieval_headroom_etth1_fullval_banks.json</w:t>
      </w:r>
      <w:r>
        <w:rPr>
          <w:rFonts w:ascii="Liberation Sans" w:hAnsi="Liberation Sans" w:eastAsia="WenQuanYi Micro Hei"/>
          <w:lang w:val="en-US" w:eastAsia="zh-CN"/>
        </w:rPr>
        <w:t xml:space="preserve"> 与 </w:t>
      </w:r>
      <w:r>
        <w:rPr>
          <w:rFonts w:ascii="DejaVu Sans Mono" w:hAnsi="DejaVu Sans Mono" w:eastAsia="WenQuanYi Micro Hei"/>
          <w:lang w:val="en-US" w:eastAsia="zh-CN"/>
          <w:sz w:val="17"/>
          <w:shd w:fill="EEF3F7" w:val="clear"/>
        </w:rPr>
        <w:t xml:space="preserve">retrieval_headroom_solar_fullval_banks.json</w:t>
      </w:r>
      <w:r>
        <w:rPr>
          <w:rFonts w:ascii="Liberation Sans" w:hAnsi="Liberation Sans" w:eastAsia="WenQuanYi Micro Hei"/>
          <w:lang w:val="en-US" w:eastAsia="zh-CN"/>
        </w:rPr>
        <w:t xml:space="preserve">；这些是验证集诊断，oracle 不算正式模型结果。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固定评估资产目录：ETTh1 </w:t>
      </w:r>
      <w:r>
        <w:rPr>
          <w:rFonts w:ascii="DejaVu Sans Mono" w:hAnsi="DejaVu Sans Mono" w:eastAsia="WenQuanYi Micro Hei"/>
          <w:lang w:val="en-US" w:eastAsia="zh-CN"/>
          <w:sz w:val="17"/>
          <w:shd w:fill="EEF3F7" w:val="clear"/>
        </w:rPr>
        <w:t xml:space="preserve">bfe9623f632b1c68ce78</w:t>
      </w:r>
      <w:r>
        <w:rPr>
          <w:rFonts w:ascii="Liberation Sans" w:hAnsi="Liberation Sans" w:eastAsia="WenQuanYi Micro Hei"/>
          <w:lang w:val="en-US" w:eastAsia="zh-CN"/>
        </w:rPr>
        <w:t xml:space="preserve">；Solar </w:t>
      </w:r>
      <w:r>
        <w:rPr>
          <w:rFonts w:ascii="DejaVu Sans Mono" w:hAnsi="DejaVu Sans Mono" w:eastAsia="WenQuanYi Micro Hei"/>
          <w:lang w:val="en-US" w:eastAsia="zh-CN"/>
          <w:sz w:val="17"/>
          <w:shd w:fill="EEF3F7" w:val="clear"/>
        </w:rPr>
        <w:t xml:space="preserve">8c343b57ef82b26b213a</w:t>
      </w:r>
      <w:r>
        <w:rPr>
          <w:rFonts w:ascii="Liberation Sans" w:hAnsi="Liberation Sans" w:eastAsia="WenQuanYi Micro Hei"/>
          <w:lang w:val="en-US" w:eastAsia="zh-CN"/>
        </w:rPr>
        <w:t xml:space="preserve">，位于 artifacts/evaluation。全过程偏差索引：code/badandgood/TrustGTR.md。</w:t>
      </w:r>
    </w:p>
    <w:p>
      <w:pPr>
        <w:pStyle w:val="Normal"/>
      </w:pPr>
      <w:r>
        <w:rPr>
          <w:rFonts w:ascii="Liberation Sans" w:hAnsi="Liberation Sans" w:eastAsia="WenQuanYi Micro Hei"/>
          <w:lang w:val="en-US" w:eastAsia="zh-CN"/>
        </w:rPr>
        <w:t xml:space="preserve">本 PDF 数值由 metrics 自动代入；同名 evidence.json 保存来源 hash 与队列快照，可编辑 Markdown/DOCX 同时交付。更新文档时重新核对截止状态，保留旧版本，不把计划改写为已执行事实。</w:t>
      </w:r>
    </w:p>
    <w:sectPr>
      <w:headerReference w:type="default" r:id="header"/>
      <w:footerReference w:type="default" r:id="footer"/>
      <w:pgSz w:w="11906" w:h="16838"/>
      <w:pgMar w:top="1134" w:right="1134" w:bottom="1134" w:left="1134" w:header="440" w:footer="50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rPr>
        <w:rFonts w:ascii="Liberation Sans" w:hAnsi="Liberation Sans" w:eastAsia="WenQuanYi Micro Hei"/>
        <w:lang w:val="en-US" w:eastAsia="zh-CN"/>
        <w:sz w:val="17"/>
        <w:szCs w:val="17"/>
        <w:color w:val="60788A"/>
      </w:rPr>
      <w:t xml:space="preserve">项目计划 v1.0 · 2026-10-05     第 </w:t>
    </w:r>
    <w:fldSimple w:instr="PAGE"/>
    <w:r>
      <w:rPr>
        <w:rFonts w:ascii="Liberation Sans" w:hAnsi="Liberation Sans" w:eastAsia="WenQuanYi Micro Hei"/>
        <w:lang w:val="en-US" w:eastAsia="zh-CN"/>
        <w:sz w:val="17"/>
        <w:szCs w:val="17"/>
        <w:color w:val="60788A"/>
      </w:rPr>
      <w:t xml:space="preserve"> 页 / 共 </w:t>
    </w:r>
    <w:fldSimple w:instr="NUMPAGES"/>
    <w:r>
      <w:rPr>
        <w:rFonts w:ascii="Liberation Sans" w:hAnsi="Liberation Sans" w:eastAsia="WenQuanYi Micro Hei"/>
        <w:lang w:val="en-US" w:eastAsia="zh-CN"/>
        <w:sz w:val="17"/>
        <w:szCs w:val="17"/>
        <w:color w:val="60788A"/>
      </w:rPr>
      <w:t xml:space="preserve"> 页</w:t>
    </w:r>
  </w:p>
</w:ftr>
</file>

<file path=word/header1.xml><?xml version="1.0" encoding="utf-8"?>
<w:hdr xmlns:w="http://schemas.openxmlformats.org/wordprocessingml/2006/main">
  <w:p>
    <w:pPr>
      <w:pStyle w:val="Header"/>
    </w:pPr>
    <w:r>
      <w:rPr>
        <w:rFonts w:ascii="Liberation Sans" w:hAnsi="Liberation Sans" w:eastAsia="WenQuanYi Micro Hei"/>
        <w:lang w:val="en-US" w:eastAsia="zh-CN"/>
      </w:rPr>
      <w:t xml:space="preserve">TrustGTR  /  项目完整计划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eastAsia="WenQuanYi Micro Hei"/>
        <w:sz w:val="21"/>
        <w:lang w:val="en-US" w:eastAsia="zh-CN"/>
      </w:rPr>
    </w:rPrDefault>
  </w:docDefaults>
  <w:style w:type="paragraph" w:styleId="Normal" w:default="1">
    <w:name w:val="Normal"/>
    <w:pPr>
      <w:spacing w:before="0" w:after="90" w:line="300" w:lineRule="exact"/>
      <w:widowControl/>
    </w:pPr>
    <w:rPr>
      <w:sz w:val="21"/>
      <w:szCs w:val="21"/>
      <w:color w:val="20313F"/>
    </w:rPr>
  </w:style>
  <w:style w:type="paragraph" w:styleId="Title">
    <w:name w:val="Title"/>
    <w:basedOn w:val="Normal"/>
    <w:pPr>
      <w:spacing w:before="440" w:after="360" w:line="650" w:lineRule="exact"/>
      <w:widowControl/>
    </w:pPr>
    <w:rPr>
      <w:sz w:val="46"/>
      <w:szCs w:val="46"/>
      <w:color w:val="193B52"/>
      <w:b/>
    </w:rPr>
  </w:style>
  <w:style w:type="paragraph" w:styleId="Subtitle">
    <w:name w:val="Subtitle"/>
    <w:basedOn w:val="Normal"/>
    <w:pPr>
      <w:spacing w:before="0" w:after="260" w:line="420" w:lineRule="exact"/>
      <w:widowControl/>
    </w:pPr>
    <w:rPr>
      <w:sz w:val="26"/>
      <w:szCs w:val="26"/>
      <w:color w:val="17798A"/>
    </w:rPr>
  </w:style>
  <w:style w:type="paragraph" w:styleId="Heading1">
    <w:name w:val="Heading1"/>
    <w:basedOn w:val="Normal"/>
    <w:pPr>
      <w:spacing w:before="0" w:after="240" w:line="440" w:lineRule="exact"/>
      <w:widowControl/>
      <w:outlineLvl w:val="0"/>
      <w:keepNext/>
    </w:pPr>
    <w:rPr>
      <w:sz w:val="32"/>
      <w:szCs w:val="32"/>
      <w:color w:val="193B52"/>
      <w:b/>
    </w:rPr>
  </w:style>
  <w:style w:type="paragraph" w:styleId="Heading2">
    <w:name w:val="Heading2"/>
    <w:basedOn w:val="Normal"/>
    <w:pPr>
      <w:spacing w:before="160" w:after="120" w:line="360" w:lineRule="exact"/>
      <w:widowControl/>
      <w:outlineLvl w:val="1"/>
      <w:keepNext/>
    </w:pPr>
    <w:rPr>
      <w:sz w:val="25"/>
      <w:szCs w:val="25"/>
      <w:color w:val="17798A"/>
      <w:b/>
    </w:rPr>
  </w:style>
  <w:style w:type="paragraph" w:styleId="Heading3">
    <w:name w:val="Heading3"/>
    <w:basedOn w:val="Normal"/>
    <w:pPr>
      <w:spacing w:before="130" w:after="90" w:line="330" w:lineRule="exact"/>
      <w:widowControl/>
      <w:outlineLvl w:val="2"/>
      <w:keepNext/>
    </w:pPr>
    <w:rPr>
      <w:sz w:val="22"/>
      <w:szCs w:val="22"/>
      <w:color w:val="193B52"/>
      <w:b/>
    </w:rPr>
  </w:style>
  <w:style w:type="paragraph" w:styleId="Bullet">
    <w:name w:val="Bullet"/>
    <w:basedOn w:val="Normal"/>
    <w:pPr>
      <w:spacing w:before="0" w:after="70" w:line="300" w:lineRule="exact"/>
      <w:widowControl/>
    </w:pPr>
    <w:rPr>
      <w:sz w:val="21"/>
      <w:szCs w:val="21"/>
      <w:color w:val="20313F"/>
    </w:rPr>
  </w:style>
  <w:style w:type="paragraph" w:styleId="Callout">
    <w:name w:val="Callout"/>
    <w:basedOn w:val="Normal"/>
    <w:pPr>
      <w:spacing w:before="130" w:after="180" w:line="360" w:lineRule="exact"/>
      <w:widowControl/>
      <w:shd w:fill="E8F2F4" w:val="clear"/>
      <w:ind w:left="180" w:right="180"/>
    </w:pPr>
    <w:rPr>
      <w:sz w:val="23"/>
      <w:szCs w:val="23"/>
      <w:color w:val="193B52"/>
      <w:b/>
    </w:rPr>
  </w:style>
  <w:style w:type="paragraph" w:styleId="Code">
    <w:name w:val="Code"/>
    <w:basedOn w:val="Normal"/>
    <w:pPr>
      <w:spacing w:before="0" w:after="30" w:line="240" w:lineRule="exact"/>
      <w:widowControl/>
    </w:pPr>
    <w:rPr>
      <w:sz w:val="17"/>
      <w:szCs w:val="17"/>
      <w:color w:val="20313F"/>
    </w:rPr>
  </w:style>
  <w:style w:type="paragraph" w:styleId="TableText">
    <w:name w:val="TableText"/>
    <w:basedOn w:val="Normal"/>
    <w:pPr>
      <w:spacing w:before="0" w:after="20" w:line="250" w:lineRule="exact"/>
      <w:widowControl/>
    </w:pPr>
    <w:rPr>
      <w:sz w:val="18"/>
      <w:szCs w:val="18"/>
      <w:color w:val="20313F"/>
    </w:rPr>
  </w:style>
  <w:style w:type="paragraph" w:styleId="TableAfter">
    <w:name w:val="TableAfter"/>
    <w:basedOn w:val="Normal"/>
    <w:pPr>
      <w:spacing w:before="0" w:after="90" w:line="20" w:lineRule="exact"/>
      <w:widowControl/>
    </w:pPr>
    <w:rPr>
      <w:sz w:val="2"/>
      <w:szCs w:val="2"/>
      <w:color w:val="FFFFFF"/>
    </w:rPr>
  </w:style>
  <w:style w:type="paragraph" w:styleId="Header">
    <w:name w:val="Header"/>
    <w:basedOn w:val="Normal"/>
    <w:pPr>
      <w:spacing w:before="0" w:after="0" w:line="220" w:lineRule="exact"/>
      <w:widowControl/>
      <w:pBdr>
        <w:bottom w:val="single" w:sz="6" w:color="D5DFE8" w:space="8"/>
      </w:pBdr>
    </w:pPr>
    <w:rPr>
      <w:sz w:val="17"/>
      <w:szCs w:val="17"/>
      <w:color w:val="60788A"/>
    </w:rPr>
  </w:style>
  <w:style w:type="paragraph" w:styleId="Footer">
    <w:name w:val="Footer"/>
    <w:basedOn w:val="Normal"/>
    <w:pPr>
      <w:spacing w:before="0" w:after="0" w:line="220" w:lineRule="exact"/>
      <w:widowControl/>
      <w:jc w:val="center"/>
    </w:pPr>
    <w:rPr>
      <w:sz w:val="17"/>
      <w:szCs w:val="17"/>
      <w:color w:val="60788A"/>
    </w:rPr>
  </w:style>
</w:styles>
</file>

<file path=word/_rels/document.xml.rels><?xml version='1.0' encoding='utf-8'?>
<Relationships xmlns="http://schemas.openxmlformats.org/package/2006/relationships"><Relationship Id="styles" Target="styles.xml" Type="http://schemas.openxmlformats.org/officeDocument/2006/relationships/styles" /><Relationship Id="header" Target="header1.xml" Type="http://schemas.openxmlformats.org/officeDocument/2006/relationships/header" /><Relationship Id="footer" Target="footer1.xml" Type="http://schemas.openxmlformats.org/officeDocument/2006/relationships/footer" /><Relationship Id="link1" Target="https://github.com/macovaseas/GTR" Type="http://schemas.openxmlformats.org/officeDocument/2006/relationships/hyperlink" TargetMode="External" /><Relationship Id="link2" Target="https://github.com/cure-lab/LTSF-Linear" Type="http://schemas.openxmlformats.org/officeDocument/2006/relationships/hyperlink" TargetMode="External" /><Relationship Id="link3" Target="https://github.com/ACAT-SCUT/CycleNet" Type="http://schemas.openxmlformats.org/officeDocument/2006/relationships/hyperlink" TargetMode="External" /><Relationship Id="link4" Target="https://github.com/yuqinie98/PatchTST" Type="http://schemas.openxmlformats.org/officeDocument/2006/relationships/hyperlink" TargetMode="External" /><Relationship Id="link5" Target="https://github.com/macovaseas/GTR" Type="http://schemas.openxmlformats.org/officeDocument/2006/relationships/hyperlink" TargetMode="External" /><Relationship Id="link6" Target="https://arxiv.org/abs/2602.10847" Type="http://schemas.openxmlformats.org/officeDocument/2006/relationships/hyperlink" TargetMode="External" /><Relationship Id="link7" Target="https://openreview.net/forum?id=QUJBPSfyui" Type="http://schemas.openxmlformats.org/officeDocument/2006/relationships/hyperlink" TargetMode="External" /><Relationship Id="link8" Target="https://github.com/cure-lab/LTSF-Linear" Type="http://schemas.openxmlformats.org/officeDocument/2006/relationships/hyperlink" TargetMode="External" /><Relationship Id="link9" Target="https://github.com/ACAT-SCUT/CycleNet" Type="http://schemas.openxmlformats.org/officeDocument/2006/relationships/hyperlink" TargetMode="External" /><Relationship Id="link10" Target="https://github.com/yuqinie98/PatchTST" Type="http://schemas.openxmlformats.org/officeDocument/2006/relationships/hyperlink" TargetMode="External" /><Relationship Id="settings" Target="settings.xml" Type="http://schemas.openxmlformats.org/officeDocument/2006/relationships/settings" /></Relationships>
</file>