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162.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վճարողները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վճարողներ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Օրենսգրքի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164-րդ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գործունեություն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գործառույթ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իրականացնող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նշված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կազմակերպությունները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ֆիզիկական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անձինք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2.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վճարողներ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՝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1) </w:t>
      </w:r>
      <w:proofErr w:type="spellStart"/>
      <w:proofErr w:type="gram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proofErr w:type="gram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անշարժ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աղբյուրներից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արտանետողները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2) </w:t>
      </w:r>
      <w:proofErr w:type="spellStart"/>
      <w:proofErr w:type="gram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արտանետման</w:t>
      </w:r>
      <w:proofErr w:type="spellEnd"/>
      <w:proofErr w:type="gram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շարժական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աղբյուրներից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մթնոլորտային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օդ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վնասակար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նյութեր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՝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ա.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հաշվառված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շահագործվող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այլ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ինքնագնաց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մեքենաների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մեխանիզմների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ինչպես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նաև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լողամիջոցների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սեփականատերերը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կամ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նրանց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լիազորած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անձինք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ներկայացուցիչները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),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163.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Կիրառվող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հասկացությունները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և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լիազոր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մարմինները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ջրային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ընդերքի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օրենսգրքերում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Ջրի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ազգային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ծրագրի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Թափոնների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պահպանության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Ավտոմոբիլային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ճանապարհների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Տրանսպորտի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», </w:t>
      </w: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«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Ավտոմոբիլային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տրանսպորտի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մասին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» և «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Ճանապարհային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երթևեկության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անվտանգության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ապահովման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մասին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»</w:t>
      </w: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օրենքներում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դրանց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համապատասխան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ընդունված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իրավական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ակտերում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հասկացությունները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իրավական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ակտերում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իմաստներով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նշանակությամբ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եթե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չէ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 xml:space="preserve">Գ Լ ՈՒ </w:t>
      </w:r>
      <w:proofErr w:type="gramStart"/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Խ  31</w:t>
      </w:r>
      <w:proofErr w:type="gramEnd"/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i/>
          <w:iCs/>
          <w:color w:val="000000"/>
          <w:sz w:val="21"/>
          <w:szCs w:val="21"/>
        </w:rPr>
        <w:t>ԲՆԱՊԱՀՊԱՆԱԿԱՆ ՀԱՐԿՈՎ ՀԱՐԿՄԱՆ ՕԲՅԵԿՏԸ, ՀԱՐԿՄԱՆ ԲԱԶԱՆ ԵՎ ԴՐՈՒՅՔԱՉԱՓԵՐԸ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164.</w:t>
            </w:r>
          </w:p>
        </w:tc>
        <w:tc>
          <w:tcPr>
            <w:tcW w:w="0" w:type="auto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հարկով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օբյեկտը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օբյեկտներ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՝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1) </w:t>
      </w:r>
      <w:proofErr w:type="spellStart"/>
      <w:proofErr w:type="gram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proofErr w:type="gram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արտանետումը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165.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հարկով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բազան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արժեքային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ֆիզիկական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մեծությունը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բնութագրիչը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որի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հիման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վրա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կարգով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գումարը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2.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աղբյուրներից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՝</w:t>
      </w:r>
    </w:p>
    <w:p w:rsidR="00011C7A" w:rsidRPr="00FA2C6C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lastRenderedPageBreak/>
        <w:t xml:space="preserve">2) </w:t>
      </w:r>
      <w:proofErr w:type="spellStart"/>
      <w:proofErr w:type="gram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արտանետման</w:t>
      </w:r>
      <w:proofErr w:type="spellEnd"/>
      <w:proofErr w:type="gram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շարժական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աղբյուրներից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մթնոլորտային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օդ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վնասակար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նյութերի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արտանետման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համար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՝</w:t>
      </w:r>
    </w:p>
    <w:p w:rsidR="00011C7A" w:rsidRPr="00FA2C6C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ա.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հաշվառված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շահագործվող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բեռնատար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տեսակը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՝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ըստ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խմբերի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,</w:t>
      </w:r>
    </w:p>
    <w:p w:rsidR="00011C7A" w:rsidRPr="00FA2C6C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բ.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հաշվառված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բացառությամբ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բեռնատար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այլ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ինքնագնաց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մեքենաների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մեխանիզմների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ինչպես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նաև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լողամիջոցների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շարժիչի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հզորությունը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,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գ.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չգրանցված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չհաշվառված</w:t>
      </w:r>
      <w:proofErr w:type="spellEnd"/>
      <w:proofErr w:type="gram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)՝</w:t>
      </w:r>
      <w:proofErr w:type="gram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մուտք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գործող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տեսակը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բեռնատարողությունը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168.</w:t>
            </w:r>
          </w:p>
        </w:tc>
        <w:tc>
          <w:tcPr>
            <w:tcW w:w="0" w:type="auto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Արտանետման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շարժական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աղբյուրներից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մթնոլորտային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օդ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վնասակար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նյութերի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արտանետման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դրույքաչափերը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աղբյուրներից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նկատմամբ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հետևյալ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առնելով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2-րդ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դրույթները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).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Հանրապետությունում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գրանցված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հաշվառված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շահագործվող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բեռնատար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ավտոտրանսպորտային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միջոցներից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`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ըստ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դրանց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խմբերի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1"/>
        <w:gridCol w:w="2009"/>
      </w:tblGrid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Բեռնատար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խումբը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Տարեկան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դրույքաչափը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)</w:t>
            </w:r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Բեռների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փոխադրման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նախատեսված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որոնց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առավելագույն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զանգվածը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չի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գերազանցում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5000</w:t>
            </w:r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Բեռների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փոխադրման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նախատեսված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` 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տոննայից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բայց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ոչ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քան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առավելագույն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զանգված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ունեցող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10000</w:t>
            </w:r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Բեռների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փոխադրման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նախատեսված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` 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տոննայից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առավելագույն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զանգված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ունեցող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15000</w:t>
            </w:r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2)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Հանրապետությունում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գրանցված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հաշվառված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շահագործվող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ավտոտրանսպորտային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միջոցներից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բացառությամբ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բեռնատար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ավտոտրանսպորտային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միջոցների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ինքնագնաց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մեքենաներից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մեխանիզմներից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ինչպես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նաև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լողամիջոցներից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`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ըստ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շարժիչի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8D3BB1" w:rsidRDefault="008D3BB1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8D3BB1" w:rsidRDefault="008D3BB1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8D3BB1" w:rsidRDefault="008D3BB1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8D3BB1" w:rsidRDefault="008D3BB1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8D3BB1" w:rsidRDefault="008D3BB1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8D3BB1" w:rsidRDefault="008D3BB1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8D3BB1" w:rsidRPr="008D3BB1" w:rsidRDefault="008D3BB1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437"/>
        <w:gridCol w:w="897"/>
        <w:gridCol w:w="1071"/>
        <w:gridCol w:w="1071"/>
        <w:gridCol w:w="1071"/>
        <w:gridCol w:w="1071"/>
        <w:gridCol w:w="888"/>
        <w:gridCol w:w="1047"/>
      </w:tblGrid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արտադրության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տարին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Շարժիչի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հզորություն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1-ին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6-րդ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8-րդ և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հաջորդող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51-80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6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9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81-100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9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101-150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14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16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bookmarkStart w:id="0" w:name="_GoBack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 </w:t>
            </w:r>
            <w:bookmarkEnd w:id="0"/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151-200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201-250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21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24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27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251-300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21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24.5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31.5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301 և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Շարժիչի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հզորությունը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կիլովատերով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արտահայտված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լինելու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դեպքում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համապատասխան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նկատմամբ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1.36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գործակից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: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կետի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իմաստով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ինքնագնաց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մեքենաների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մեխանիզմների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ինչպես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նաև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լողամիջոցների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կետի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աղյուսակի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վերջին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սյունով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համապատասխան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ըստ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շարժիչի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կրկնապատիկի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չափով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011C7A" w:rsidRPr="00011C7A" w:rsidRDefault="00011C7A" w:rsidP="00973E3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 xml:space="preserve">Գ Լ ՈՒ </w:t>
      </w:r>
      <w:proofErr w:type="gramStart"/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Խ  33</w:t>
      </w:r>
      <w:proofErr w:type="gramEnd"/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i/>
          <w:iCs/>
          <w:color w:val="000000"/>
          <w:sz w:val="21"/>
          <w:szCs w:val="21"/>
        </w:rPr>
        <w:t>ԲՆԱՊԱՀՊԱՆԱԿԱՆ ՀԱՐԿԻ ՀԱՇՎԱՐԿՈՒՄԸ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173.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Հաշվետու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ժամանակաշրջանը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lastRenderedPageBreak/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հաշվետու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ժամանակաշրջան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հաշվետու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եռամսյակը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բացառությամբ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դեպքերի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174.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Պետական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բյուջե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վճարման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ենթակա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հաշվարկման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ընդհանուր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կարգը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Պետական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բյուջե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ենթակա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Օրենսգրքի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164-րդ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հիման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վրա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առնելով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չափաքանակները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181.</w:t>
            </w:r>
          </w:p>
        </w:tc>
        <w:tc>
          <w:tcPr>
            <w:tcW w:w="0" w:type="auto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գումարի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վճարումը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p w:rsidR="00011C7A" w:rsidRPr="00840303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</w:pPr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2. Արտանետման շարժական աղբյուրներից մթնոլորտային օդ վնասակար նյութերի արտանետման համար բնապահպանական հարկը Հայաստանի Հանրապետության պետական բյուջե է վճարվում հետևյալ ժամկետներում ու կարգով.</w:t>
      </w:r>
    </w:p>
    <w:p w:rsidR="00011C7A" w:rsidRPr="005F07FB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</w:pPr>
      <w:r w:rsidRPr="005F07FB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1) Հայաստանի Հանրապետությունում գրանցված (հաշվառված) և շահագործվող այն ավտոտրանսպորտային միջոցների, այլ ինքնագնաց մեքենաների և մեխանիզմների, ինչպես նաև լողամիջոցների համար, որոնց համար սահմանված է տեխնիկական զննության պահանջ, Օրենսգրքի 175-րդ հոդվածով սահմանված կարգով հաշվարկված բնապահպանական հարկը յուրաքանչյուր հարկային տարվա համար վճարվում է մինչև դրանց տարեկան տեխնիկական զննությունը, բացառությամբ սույն մասի 2-րդ կետով սահմանված դեպքերի.</w:t>
      </w:r>
    </w:p>
    <w:p w:rsidR="00011C7A" w:rsidRPr="008D3BB1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</w:pPr>
      <w:r w:rsidRPr="008D3BB1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2) եթե սույն մասի 1-ին կետում նշված դեպքում տարեկան տեխնիկական զննության փոխարեն սահմանված է տեխնիկական զննության այլ պարբերականություն, ապա Օրենսգրքի 175-րդ հոդվածով սահմանված կարգով հաշվարկված բնապահպանական հարկը վճարվում է`</w:t>
      </w:r>
    </w:p>
    <w:p w:rsidR="00011C7A" w:rsidRPr="008D3BB1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</w:pPr>
      <w:r w:rsidRPr="008D3BB1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ա. հարկային տարվա ընթացքում երկու տեխնիկական զննություն անցնելու դեպքում` մինչև հարկային տարվա երկրորդ տեխնիկական զննությունը,</w:t>
      </w:r>
    </w:p>
    <w:p w:rsidR="00011C7A" w:rsidRPr="008D3BB1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  <w:r w:rsidRPr="008D3BB1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բ. երկու հարկային տարվա ընթացքում մեկ տեխնիկական զննություն անցնելու դեպքում` երկու հարկային տարիների տարեկան բնապահպանական հարկի գումարների հանրագումարի չափով` մինչև յուրաքանչյուր տեխնիկական զննությունը.</w:t>
      </w:r>
    </w:p>
    <w:p w:rsidR="00011C7A" w:rsidRPr="008D3BB1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  <w:r w:rsidRPr="008D3BB1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3) Հայաստանի Հանրապետությունում գրանցված (հաշվառված) և շահագործվող այն ավտոտրանսպորտային միջոցների, այլ ինքնագնաց մեքենաների և մեխանիզմների, ինչպես նաև լողամիջոցների համար, որոնց համար սահմանված չէ տեխնիկական զննության պահանջ, Օրենսգրքի 175-րդ հոդվածով սահմանված կարգով հաշվարկված բնապահպանական հարկը յուրաքանչյուր հարկային տարվա համար վճարվում է մինչև տվյալ հարկային տարվա դեկտեմբերի 1-ը ներառյալ.</w:t>
      </w:r>
    </w:p>
    <w:p w:rsidR="00011C7A" w:rsidRPr="008D3BB1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p w:rsidR="005A7BCE" w:rsidRPr="008D3BB1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p w:rsidR="005A7BCE" w:rsidRPr="008D3BB1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p w:rsidR="005A7BCE" w:rsidRPr="008D3BB1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p w:rsidR="005A7BCE" w:rsidRPr="008D3BB1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  <w:lang w:val="hy-AM"/>
        </w:rPr>
      </w:pPr>
      <w:r w:rsidRPr="008D3BB1">
        <w:rPr>
          <w:rFonts w:ascii="Sylfaen" w:hAnsi="Sylfaen"/>
          <w:color w:val="000000"/>
          <w:sz w:val="21"/>
          <w:szCs w:val="21"/>
          <w:lang w:val="hy-AM"/>
        </w:rPr>
        <w:t>15. Տեխնիկական զննության կտրոն ստանալու համար տիրապետողն սպասարկող բանկերում կատարում է հետևյալ վճարումները`</w:t>
      </w:r>
    </w:p>
    <w:p w:rsidR="005A7BCE" w:rsidRPr="008D3BB1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  <w:lang w:val="hy-AM"/>
        </w:rPr>
      </w:pPr>
      <w:r w:rsidRPr="008D3BB1">
        <w:rPr>
          <w:rFonts w:ascii="Sylfaen" w:hAnsi="Sylfaen"/>
          <w:color w:val="000000"/>
          <w:sz w:val="21"/>
          <w:szCs w:val="21"/>
          <w:lang w:val="hy-AM"/>
        </w:rPr>
        <w:lastRenderedPageBreak/>
        <w:t>1) Հայաստանի Հանրապետության հարկային օրենսգրքով սահմանված կարգով հաշվարկված բնապահպանական հարկը՝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ա.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առաջին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անցնելու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դեպքում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վճարվում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մինչև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առաջին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իսկ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տարեկան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անցնելու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դեպքում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` </w:t>
      </w:r>
      <w:proofErr w:type="spellStart"/>
      <w:r>
        <w:rPr>
          <w:rFonts w:ascii="Sylfaen" w:hAnsi="Sylfaen"/>
          <w:color w:val="000000"/>
          <w:sz w:val="21"/>
          <w:szCs w:val="21"/>
        </w:rPr>
        <w:t>մինչև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տարեկան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զննությունը</w:t>
      </w:r>
      <w:proofErr w:type="spellEnd"/>
      <w:r>
        <w:rPr>
          <w:rFonts w:ascii="Sylfaen" w:hAnsi="Sylfaen"/>
          <w:color w:val="000000"/>
          <w:sz w:val="21"/>
          <w:szCs w:val="21"/>
        </w:rPr>
        <w:t>,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բ.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երկու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հարկային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տարվա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ընթացքում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մեկ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անցնելու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դեպքում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` </w:t>
      </w:r>
      <w:proofErr w:type="spellStart"/>
      <w:r>
        <w:rPr>
          <w:rFonts w:ascii="Sylfaen" w:hAnsi="Sylfaen"/>
          <w:color w:val="000000"/>
          <w:sz w:val="21"/>
          <w:szCs w:val="21"/>
        </w:rPr>
        <w:t>բնապահպանական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հարկի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տարեկան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գումարի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կրկնապատիկի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չափով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վճարվում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մինչև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յուրաքանչյուր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զննությունը</w:t>
      </w:r>
      <w:proofErr w:type="spellEnd"/>
      <w:r>
        <w:rPr>
          <w:rFonts w:ascii="Sylfaen" w:hAnsi="Sylfaen"/>
          <w:color w:val="000000"/>
          <w:sz w:val="21"/>
          <w:szCs w:val="21"/>
        </w:rPr>
        <w:t>.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2)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տրանսպորտային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միջոցի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անցկացման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համար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նախատեսված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ծառայության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վճարը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որը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բանկի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կողմից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փոխանցվում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Հայաստանի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Հանրապետության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ֆինանսների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նախարարության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կենտրոնական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գանձապետարանում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բացված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կուտակային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հաշվին</w:t>
      </w:r>
      <w:proofErr w:type="spellEnd"/>
      <w:r>
        <w:rPr>
          <w:rFonts w:ascii="Sylfaen" w:hAnsi="Sylfaen"/>
          <w:color w:val="000000"/>
          <w:sz w:val="21"/>
          <w:szCs w:val="21"/>
        </w:rPr>
        <w:t>.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3)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օրենքով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սահմանված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կարգով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նախատեսված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պետական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տուրքը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որը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բանկի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կողմից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փոխանցվում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պետական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բյուջեի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հաշվեհամարին</w:t>
      </w:r>
      <w:proofErr w:type="spellEnd"/>
      <w:r>
        <w:rPr>
          <w:rFonts w:ascii="Sylfaen" w:hAnsi="Sylfaen"/>
          <w:color w:val="000000"/>
          <w:sz w:val="21"/>
          <w:szCs w:val="21"/>
        </w:rPr>
        <w:t>.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4)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տրանսպորտային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միջոցի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(</w:t>
      </w:r>
      <w:proofErr w:type="spellStart"/>
      <w:r>
        <w:rPr>
          <w:rFonts w:ascii="Sylfaen" w:hAnsi="Sylfaen"/>
          <w:color w:val="000000"/>
          <w:sz w:val="21"/>
          <w:szCs w:val="21"/>
        </w:rPr>
        <w:t>միջոցների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)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համար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հաշվարկված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գույքահարկը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` </w:t>
      </w:r>
      <w:proofErr w:type="spellStart"/>
      <w:r>
        <w:rPr>
          <w:rFonts w:ascii="Sylfaen" w:hAnsi="Sylfaen"/>
          <w:color w:val="000000"/>
          <w:sz w:val="21"/>
          <w:szCs w:val="21"/>
        </w:rPr>
        <w:t>գույքահարկի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պարտավորության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չափի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վերաբերյալ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տեղեկանքի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հիման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վրա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որը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բանկի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կողմից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փոխանցվում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համայնքի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բյուջե</w:t>
      </w:r>
      <w:proofErr w:type="spellEnd"/>
      <w:r>
        <w:rPr>
          <w:rFonts w:ascii="Sylfaen" w:hAnsi="Sylfaen"/>
          <w:color w:val="000000"/>
          <w:sz w:val="21"/>
          <w:szCs w:val="21"/>
        </w:rPr>
        <w:t>:</w:t>
      </w:r>
    </w:p>
    <w:p w:rsidR="005A7BCE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F07FB" w:rsidRDefault="005F07FB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F07FB" w:rsidRDefault="005F07FB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2.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Մինչև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օրենքով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սահմանված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կարգով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Հայաստանի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Հանրապետության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հանրային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ծառայությունները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կարգավորող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հանձնաժողովի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կողմից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տեխնիկական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զննության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անցկացման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սակագների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սահմանումն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դրանք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ուժի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մեջ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մտնելը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՝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տրանսպորտային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միջոցների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տեխնիկական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զննությունն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անցկացնել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հետևյալ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գումարներից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ոչ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սակագներով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(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ներառյալ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ավելացված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արժեքի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հարկը</w:t>
      </w:r>
      <w:proofErr w:type="spellEnd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)`</w:t>
      </w:r>
      <w:proofErr w:type="gramEnd"/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1)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թեթև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մարդատար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ավտոմոբիլներ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` 8000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2)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մինչև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3500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կգ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զանգվածով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բեռնատար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ավտոմոբիլներ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մինչև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17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նստատեղ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ունեցող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ավտոբուսներ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` 10000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3) 3500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կգ-ից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զանգվածով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բեռնատար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ավտոմոբիլներ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17-ից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նստատեղ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ունեցող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ավտոբուսներ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` 13000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4)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կցորդներ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կիսակցորդներ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՝ 6000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5)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մոտոցիկլետներ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մոպեդներ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՝ 6000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: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3.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Սույն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որոշումն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ուժի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մեջ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է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մտնում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պաշտոնական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հրապարակման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օրվան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հաջորդող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տասներորդ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օրը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:</w:t>
      </w:r>
    </w:p>
    <w:p w:rsid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 </w:t>
      </w:r>
    </w:p>
    <w:p w:rsidR="00F42DF4" w:rsidRDefault="00F42DF4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</w:p>
    <w:p w:rsidR="002D43BF" w:rsidRDefault="002D43BF" w:rsidP="002D43BF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769"/>
        <w:gridCol w:w="2769"/>
      </w:tblGrid>
      <w:tr w:rsidR="002D43BF" w:rsidRPr="002D43BF" w:rsidTr="002D43BF">
        <w:trPr>
          <w:trHeight w:val="277"/>
        </w:trPr>
        <w:tc>
          <w:tcPr>
            <w:tcW w:w="3812" w:type="dxa"/>
            <w:shd w:val="clear" w:color="auto" w:fill="auto"/>
          </w:tcPr>
          <w:p w:rsidR="002D43BF" w:rsidRPr="002D43BF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2D43BF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Թեթև մարդատար</w:t>
            </w:r>
          </w:p>
        </w:tc>
        <w:tc>
          <w:tcPr>
            <w:tcW w:w="2769" w:type="dxa"/>
            <w:shd w:val="clear" w:color="auto" w:fill="auto"/>
          </w:tcPr>
          <w:p w:rsidR="002D43BF" w:rsidRPr="002D43BF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2D43BF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5500</w:t>
            </w:r>
          </w:p>
        </w:tc>
        <w:tc>
          <w:tcPr>
            <w:tcW w:w="2769" w:type="dxa"/>
            <w:shd w:val="clear" w:color="auto" w:fill="auto"/>
          </w:tcPr>
          <w:p w:rsidR="002D43BF" w:rsidRPr="002D43BF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2D43BF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ձիերով</w:t>
            </w:r>
          </w:p>
        </w:tc>
      </w:tr>
      <w:tr w:rsidR="002D43BF" w:rsidRPr="002D43BF" w:rsidTr="002D43BF">
        <w:trPr>
          <w:trHeight w:val="277"/>
        </w:trPr>
        <w:tc>
          <w:tcPr>
            <w:tcW w:w="3812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Բեռնատար 3500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7500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5000</w:t>
            </w:r>
          </w:p>
        </w:tc>
      </w:tr>
      <w:tr w:rsidR="002D43BF" w:rsidRPr="002D43BF" w:rsidTr="002D43BF">
        <w:trPr>
          <w:trHeight w:val="277"/>
        </w:trPr>
        <w:tc>
          <w:tcPr>
            <w:tcW w:w="3812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Բեռնաատար 3500-12000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10500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10000</w:t>
            </w:r>
          </w:p>
        </w:tc>
      </w:tr>
      <w:tr w:rsidR="002D43BF" w:rsidRPr="002D43BF" w:rsidTr="002D43BF">
        <w:trPr>
          <w:trHeight w:val="277"/>
        </w:trPr>
        <w:tc>
          <w:tcPr>
            <w:tcW w:w="3812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Բեռնատար 12000&gt;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10500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15000</w:t>
            </w:r>
          </w:p>
        </w:tc>
      </w:tr>
      <w:tr w:rsidR="002D43BF" w:rsidRPr="002D43BF" w:rsidTr="002D43BF">
        <w:trPr>
          <w:trHeight w:val="277"/>
        </w:trPr>
        <w:tc>
          <w:tcPr>
            <w:tcW w:w="3812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Ավտոբուս 17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7500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ձիերով</w:t>
            </w:r>
          </w:p>
        </w:tc>
      </w:tr>
      <w:tr w:rsidR="002D43BF" w:rsidRPr="002D43BF" w:rsidTr="002D43BF">
        <w:trPr>
          <w:trHeight w:val="277"/>
        </w:trPr>
        <w:tc>
          <w:tcPr>
            <w:tcW w:w="3812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Ավտոբուս 17&gt;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10500</w:t>
            </w:r>
          </w:p>
        </w:tc>
        <w:tc>
          <w:tcPr>
            <w:tcW w:w="2769" w:type="dxa"/>
          </w:tcPr>
          <w:p w:rsidR="002D43BF" w:rsidRPr="00B86E38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B86E38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ձիերով</w:t>
            </w:r>
          </w:p>
        </w:tc>
      </w:tr>
      <w:tr w:rsidR="002D43BF" w:rsidRPr="002D43BF" w:rsidTr="002D43BF">
        <w:trPr>
          <w:trHeight w:val="277"/>
        </w:trPr>
        <w:tc>
          <w:tcPr>
            <w:tcW w:w="3812" w:type="dxa"/>
          </w:tcPr>
          <w:p w:rsidR="002D43BF" w:rsidRPr="00341762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341762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Կցորդներ և կիսակցորդներ</w:t>
            </w:r>
          </w:p>
        </w:tc>
        <w:tc>
          <w:tcPr>
            <w:tcW w:w="2769" w:type="dxa"/>
          </w:tcPr>
          <w:p w:rsidR="002D43BF" w:rsidRPr="00341762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341762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3500</w:t>
            </w:r>
          </w:p>
        </w:tc>
        <w:tc>
          <w:tcPr>
            <w:tcW w:w="2769" w:type="dxa"/>
          </w:tcPr>
          <w:p w:rsidR="002D43BF" w:rsidRPr="00341762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341762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0</w:t>
            </w:r>
          </w:p>
        </w:tc>
      </w:tr>
      <w:tr w:rsidR="002D43BF" w:rsidRPr="002D43BF" w:rsidTr="002D43BF">
        <w:trPr>
          <w:trHeight w:val="277"/>
        </w:trPr>
        <w:tc>
          <w:tcPr>
            <w:tcW w:w="3812" w:type="dxa"/>
          </w:tcPr>
          <w:p w:rsidR="002D43BF" w:rsidRPr="00341762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341762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Մոտոցիկլետ և մոպեդ</w:t>
            </w:r>
          </w:p>
        </w:tc>
        <w:tc>
          <w:tcPr>
            <w:tcW w:w="2769" w:type="dxa"/>
          </w:tcPr>
          <w:p w:rsidR="002D43BF" w:rsidRPr="00341762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</w:pPr>
            <w:r w:rsidRPr="00341762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3500</w:t>
            </w:r>
          </w:p>
        </w:tc>
        <w:tc>
          <w:tcPr>
            <w:tcW w:w="2769" w:type="dxa"/>
          </w:tcPr>
          <w:p w:rsidR="002D43BF" w:rsidRPr="00341762" w:rsidRDefault="002D43BF" w:rsidP="00725F83">
            <w:pPr>
              <w:shd w:val="clear" w:color="auto" w:fill="FFFFFF"/>
              <w:rPr>
                <w:rFonts w:ascii="Sylfaen" w:eastAsia="Times New Roman" w:hAnsi="Sylfaen" w:cs="Times New Roman"/>
                <w:color w:val="FF0000"/>
                <w:sz w:val="21"/>
                <w:szCs w:val="21"/>
              </w:rPr>
            </w:pPr>
            <w:r w:rsidRPr="00341762">
              <w:rPr>
                <w:rFonts w:ascii="Sylfaen" w:eastAsia="Times New Roman" w:hAnsi="Sylfaen" w:cs="Times New Roman"/>
                <w:color w:val="FF0000"/>
                <w:sz w:val="21"/>
                <w:szCs w:val="21"/>
                <w:lang w:val="hy-AM"/>
              </w:rPr>
              <w:t>0</w:t>
            </w:r>
          </w:p>
        </w:tc>
      </w:tr>
    </w:tbl>
    <w:p w:rsidR="005F07FB" w:rsidRPr="002D43BF" w:rsidRDefault="005F07FB" w:rsidP="002D43BF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sectPr w:rsidR="005F07FB" w:rsidRPr="002D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7A"/>
    <w:rsid w:val="00011C7A"/>
    <w:rsid w:val="00162875"/>
    <w:rsid w:val="002D43BF"/>
    <w:rsid w:val="00341762"/>
    <w:rsid w:val="003D12AA"/>
    <w:rsid w:val="004D4CDA"/>
    <w:rsid w:val="005A7BCE"/>
    <w:rsid w:val="005F07FB"/>
    <w:rsid w:val="00840303"/>
    <w:rsid w:val="008A208D"/>
    <w:rsid w:val="008D3BB1"/>
    <w:rsid w:val="009321CD"/>
    <w:rsid w:val="00973E3A"/>
    <w:rsid w:val="009D7A5A"/>
    <w:rsid w:val="00B86E38"/>
    <w:rsid w:val="00D85914"/>
    <w:rsid w:val="00F42DF4"/>
    <w:rsid w:val="00FA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D4C5"/>
  <w15:chartTrackingRefBased/>
  <w15:docId w15:val="{BC39946E-73F4-475B-88B0-EE383346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Zhor</dc:creator>
  <cp:keywords/>
  <dc:description/>
  <cp:lastModifiedBy>Zhor</cp:lastModifiedBy>
  <cp:revision>6</cp:revision>
  <dcterms:created xsi:type="dcterms:W3CDTF">2021-01-10T07:21:00Z</dcterms:created>
  <dcterms:modified xsi:type="dcterms:W3CDTF">2021-01-22T23:27:00Z</dcterms:modified>
</cp:coreProperties>
</file>