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011C7A" w:rsidRPr="00011C7A" w:rsidTr="00011C7A">
        <w:trPr>
          <w:tblCellSpacing w:w="7" w:type="dxa"/>
        </w:trPr>
        <w:tc>
          <w:tcPr>
            <w:tcW w:w="2025" w:type="dxa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Հոդված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162.</w:t>
            </w:r>
          </w:p>
        </w:tc>
        <w:tc>
          <w:tcPr>
            <w:tcW w:w="0" w:type="auto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Բնապահպանական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հարկ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վճարողները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վճարողներ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են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Օրենսգրքի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164-րդ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հոդվածով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սահմանված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օբյեկտ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համարվող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գործունեություն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(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կամ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)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գործառույթ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իրականացնող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՝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հոդվածում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նշված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կազմակերպությունները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ֆիզիկական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անձինք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2.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Մթնոլորտային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օդ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վնասակար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նյութերի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վճարողներ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են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՝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1) </w:t>
      </w:r>
      <w:proofErr w:type="spellStart"/>
      <w:proofErr w:type="gram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արտանետման</w:t>
      </w:r>
      <w:proofErr w:type="spellEnd"/>
      <w:proofErr w:type="gram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անշարժ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աղբյուրներից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մթնոլորտային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օդ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վնասակար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նյութեր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արտանետողները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.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2) </w:t>
      </w:r>
      <w:proofErr w:type="spellStart"/>
      <w:proofErr w:type="gram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արտանետման</w:t>
      </w:r>
      <w:proofErr w:type="spellEnd"/>
      <w:proofErr w:type="gram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շարժական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աղբյուրներից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մթնոլորտային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օդ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վնասակար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նյութեր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արտանետող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՝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ա.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Հայաստանի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Հանրապետությունում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գրանցված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(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հաշվառված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) և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շահագործվող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ավտոտրանսպորտային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միջոցների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,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այլ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ինքնագնաց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մեքենաների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և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մեխանիզմների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,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ինչպես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նաև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լողամիջոցների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սեփականատերերը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կամ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նրանց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լիազորած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անձինք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(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ներկայացուցիչները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),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011C7A" w:rsidRPr="00011C7A" w:rsidTr="00011C7A">
        <w:trPr>
          <w:tblCellSpacing w:w="7" w:type="dxa"/>
        </w:trPr>
        <w:tc>
          <w:tcPr>
            <w:tcW w:w="2025" w:type="dxa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Հոդված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163.</w:t>
            </w:r>
          </w:p>
        </w:tc>
        <w:tc>
          <w:tcPr>
            <w:tcW w:w="0" w:type="auto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Կիրառվող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հասկացությունները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և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լիազոր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մարմինները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Հայաստանի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Հանրապետության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ջրային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ընդերքի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մասին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օրենսգրքերում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, «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Ջրի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ազգային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ծրագրի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մասին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», «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Թափոնների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մասին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», «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Մթնոլորտային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օդի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պահպանության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մասին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», «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Ավտոմոբիլային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ճանապարհների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մասին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», «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Տրանսպորտի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մասին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», </w:t>
      </w:r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«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Ավտոմոբիլային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տրանսպորտի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մասին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» և «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Ճանապարհային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երթևեկության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անվտանգության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ապահովման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մասին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»</w:t>
      </w: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Հայաստանի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Հանրապետության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օրենքներում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դրանց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համապատասխան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ընդունված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իրավական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ակտերում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կիրառվող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հասկացությունները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բաժնում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կիրառվում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են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այդ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իրավական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ակտերում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կիրառվող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իմաստներով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ու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նշանակությամբ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եթե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բաժնով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այլ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սահմանված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չէ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b/>
          <w:bCs/>
          <w:color w:val="000000"/>
          <w:sz w:val="21"/>
          <w:szCs w:val="21"/>
        </w:rPr>
        <w:t xml:space="preserve">Գ Լ ՈՒ </w:t>
      </w:r>
      <w:proofErr w:type="gramStart"/>
      <w:r w:rsidRPr="00011C7A">
        <w:rPr>
          <w:rFonts w:ascii="Sylfaen" w:eastAsia="Times New Roman" w:hAnsi="Sylfaen" w:cs="Times New Roman"/>
          <w:b/>
          <w:bCs/>
          <w:color w:val="000000"/>
          <w:sz w:val="21"/>
          <w:szCs w:val="21"/>
        </w:rPr>
        <w:t>Խ  31</w:t>
      </w:r>
      <w:proofErr w:type="gramEnd"/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b/>
          <w:bCs/>
          <w:i/>
          <w:iCs/>
          <w:color w:val="000000"/>
          <w:sz w:val="21"/>
          <w:szCs w:val="21"/>
        </w:rPr>
        <w:t>ԲՆԱՊԱՀՊԱՆԱԿԱՆ ՀԱՐԿՈՎ ՀԱՐԿՄԱՆ ՕԲՅԵԿՏԸ, ՀԱՐԿՄԱՆ ԲԱԶԱՆ ԵՎ ԴՐՈՒՅՔԱՉԱՓԵՐԸ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011C7A" w:rsidRPr="00011C7A" w:rsidTr="00011C7A">
        <w:trPr>
          <w:tblCellSpacing w:w="7" w:type="dxa"/>
        </w:trPr>
        <w:tc>
          <w:tcPr>
            <w:tcW w:w="2025" w:type="dxa"/>
            <w:hideMark/>
          </w:tcPr>
          <w:p w:rsidR="00011C7A" w:rsidRPr="00011C7A" w:rsidRDefault="00011C7A" w:rsidP="00011C7A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Հոդված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164.</w:t>
            </w:r>
          </w:p>
        </w:tc>
        <w:tc>
          <w:tcPr>
            <w:tcW w:w="0" w:type="auto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Բնապահպանական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հարկով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հարկման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օբյեկտը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օբյեկտներ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են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՝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1) </w:t>
      </w:r>
      <w:proofErr w:type="spellStart"/>
      <w:proofErr w:type="gram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մթնոլորտային</w:t>
      </w:r>
      <w:proofErr w:type="spellEnd"/>
      <w:proofErr w:type="gram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օդ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վնասակար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նյութերի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արտանետումը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.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011C7A" w:rsidRPr="00011C7A" w:rsidTr="00011C7A">
        <w:trPr>
          <w:tblCellSpacing w:w="7" w:type="dxa"/>
        </w:trPr>
        <w:tc>
          <w:tcPr>
            <w:tcW w:w="2025" w:type="dxa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Հոդված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165.</w:t>
            </w:r>
          </w:p>
        </w:tc>
        <w:tc>
          <w:tcPr>
            <w:tcW w:w="0" w:type="auto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Բնապահպանական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հարկով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հարկման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բազան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բազա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օբյեկտի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արժեքային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կամ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ֆիզիկական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մեծությունը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կամ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բնութագրիչը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որի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հիման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վրա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բաժնով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սահմանված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դրույքաչափերով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ու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կարգով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հաշվարկվում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գումարը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2.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աղբյուրներից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մթնոլորտային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օդ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վնասակար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նյութերի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բազա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՝</w:t>
      </w:r>
    </w:p>
    <w:p w:rsidR="00011C7A" w:rsidRPr="00FA2C6C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</w:pPr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lastRenderedPageBreak/>
        <w:t xml:space="preserve">2) </w:t>
      </w:r>
      <w:proofErr w:type="spellStart"/>
      <w:proofErr w:type="gram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արտանետման</w:t>
      </w:r>
      <w:proofErr w:type="spellEnd"/>
      <w:proofErr w:type="gram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շարժական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աղբյուրներից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մթնոլորտային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օդ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վնասակար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նյութերի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արտանետման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համար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՝</w:t>
      </w:r>
    </w:p>
    <w:p w:rsidR="00011C7A" w:rsidRPr="00FA2C6C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</w:pPr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ա.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Հայաստանի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Հանրապետությունում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գրանցված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(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հաշվառված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) և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շահագործվող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բեռնատար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ավտոտրանսպորտային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միջոցների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տեսակը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՝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ըստ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խմբերի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,</w:t>
      </w:r>
    </w:p>
    <w:p w:rsidR="00011C7A" w:rsidRPr="00FA2C6C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</w:pPr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բ.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Հայաստանի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Հանրապետությունում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գրանցված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(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հաշվառված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)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ավտոտրանսպորտային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միջոցների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(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բացառությամբ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բեռնատար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ավտոտրանսպորտային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միջոցների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),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այլ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ինքնագնաց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մեքենաների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և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մեխանիզմների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,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ինչպես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նաև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լողամիջոցների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շարժիչի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հզորությունը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,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գ.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Հայաստանի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Հանրապետությունում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չգրանցված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(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չհաշվառված</w:t>
      </w:r>
      <w:proofErr w:type="spellEnd"/>
      <w:proofErr w:type="gram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)՝</w:t>
      </w:r>
      <w:proofErr w:type="gram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Հայաստանի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Հանրապետություն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մուտք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գործող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ավտոտրանսպորտային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միջոցների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տեսակը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և </w:t>
      </w:r>
      <w:proofErr w:type="spellStart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բեռնատարողությունը</w:t>
      </w:r>
      <w:proofErr w:type="spellEnd"/>
      <w:r w:rsidRPr="00FA2C6C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: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011C7A" w:rsidRPr="00011C7A" w:rsidTr="00011C7A">
        <w:trPr>
          <w:tblCellSpacing w:w="7" w:type="dxa"/>
        </w:trPr>
        <w:tc>
          <w:tcPr>
            <w:tcW w:w="2025" w:type="dxa"/>
            <w:hideMark/>
          </w:tcPr>
          <w:p w:rsidR="00011C7A" w:rsidRPr="00011C7A" w:rsidRDefault="00011C7A" w:rsidP="00011C7A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Հոդված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168.</w:t>
            </w:r>
          </w:p>
        </w:tc>
        <w:tc>
          <w:tcPr>
            <w:tcW w:w="0" w:type="auto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Արտանետման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շարժական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աղբյուրներից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մթնոլորտային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օդ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 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վնասակար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նյութերի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արտանետման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համար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բնապահպանական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 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հարկի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դրույքաչափերը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շարժական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աղբյուրներից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մթնոլորտային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օդ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վնասակար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նյութերի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հաշվարկվում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բազայի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նկատմամբ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հետևյալ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դրույքաչափերով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(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առնելով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հոդվածի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2-րդ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մասի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դրույթները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).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1)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Հայաստանի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Հանրապետությունում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գրանցված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(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հաշվառված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)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շահագործվող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բեռնատար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ավտոտրանսպորտային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միջոցներից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մթնոլորտային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օդ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վնասակար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նյութերի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`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ըստ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դրանց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խմբերի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.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97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1"/>
        <w:gridCol w:w="2009"/>
      </w:tblGrid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Բեռնատար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ավտոտրանսպորտային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միջոցի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խումբը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Տարեկան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դրույքաչափը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)</w:t>
            </w:r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Բեռների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փոխադրման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համար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նախատեսված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ավտոտրանսպորտային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միջոցներ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որոնց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առավելագույն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զանգվածը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չի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գերազանցում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3.5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տոննան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5000</w:t>
            </w:r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Բեռների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փոխադրման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համար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նախատեսված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` 3.5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տոննայից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ավելի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բայց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ոչ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ավելի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քան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12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տոննա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առավելագույն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զանգված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ունեցող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ավտոտրանսպորտային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միջոցներ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10000</w:t>
            </w:r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Բեռների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փոխադրման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համար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նախատեսված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` 12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տոննայից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ավելի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առավելագույն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զանգված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ունեցող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ավտոտրանսպորտային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միջոցներ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15000</w:t>
            </w:r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2)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Հայաստանի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Հանրապետությունում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գրանցված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(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հաշվառված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)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շահագործվող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ավտոտրանսպորտային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միջոցներից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(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բացառությամբ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բեռնատար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ավտոտրանսպորտային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միջոցների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),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այլ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ինքնագնաց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մեքենաներից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մեխանիզմներից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ինչպես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նաև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լողամիջոցներից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մթնոլորտային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օդ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վնասակար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նյութերի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արտանետման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`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ըստ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շարժիչի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հզորության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.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97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437"/>
        <w:gridCol w:w="897"/>
        <w:gridCol w:w="1071"/>
        <w:gridCol w:w="1071"/>
        <w:gridCol w:w="1071"/>
        <w:gridCol w:w="1071"/>
        <w:gridCol w:w="888"/>
        <w:gridCol w:w="1047"/>
      </w:tblGrid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Ավտոտրանսպորտային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միջոցի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արտադրության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տարին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Շարժիչի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հզորություն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1-ին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՝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յուրաքանչյուր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մասով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2-րդ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՝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յուրա-քանչյուր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lastRenderedPageBreak/>
              <w:t>ձիաուժի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մասով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lastRenderedPageBreak/>
              <w:t xml:space="preserve">3-րդ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՝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յուրաքան-չյուր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lastRenderedPageBreak/>
              <w:t>ձիաուժի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մասով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lastRenderedPageBreak/>
              <w:t xml:space="preserve">4-րդ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՝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յուրաքան-չյուր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lastRenderedPageBreak/>
              <w:t>ձիաուժի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մասով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lastRenderedPageBreak/>
              <w:t xml:space="preserve">5-րդ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՝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յուրաքան-չյուր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lastRenderedPageBreak/>
              <w:t>ձիաուժի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մասով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lastRenderedPageBreak/>
              <w:t xml:space="preserve">6-րդ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՝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յուրաքան-չյուր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lastRenderedPageBreak/>
              <w:t>ձիաուժի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մասով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lastRenderedPageBreak/>
              <w:t xml:space="preserve">7-րդ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տարի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՝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յուրա-քան-չյուր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lastRenderedPageBreak/>
              <w:t>ձիաուժի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մասով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lastRenderedPageBreak/>
              <w:t xml:space="preserve">8-րդ և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դրան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հաջորդող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յուրա-քանչյուր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lastRenderedPageBreak/>
              <w:t>տարի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՝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յուրա-քանչյուր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մասով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lastRenderedPageBreak/>
              <w:t>մինչև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50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4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4.5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51-80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6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7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8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9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81-100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7.5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7.5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7.5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9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10.5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12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13.5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101-150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12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14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16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18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151-200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12.5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12.5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12.5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17.5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22.5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201-250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18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21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24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27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251-300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17.5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17.5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17.5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21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24.5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28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31.5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  <w:tr w:rsidR="00011C7A" w:rsidRPr="00011C7A" w:rsidTr="00011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301 և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ավելի</w:t>
            </w:r>
            <w:proofErr w:type="spellEnd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ձիաուժ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25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35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40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45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11C7A" w:rsidRPr="00011C7A" w:rsidRDefault="00011C7A" w:rsidP="00011C7A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50 </w:t>
            </w:r>
            <w:proofErr w:type="spellStart"/>
            <w:r w:rsidRPr="00011C7A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Շարժիչի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հզորությունը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կիլովատերով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արտահայտված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լինելու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դեպքում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համապատասխան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հզորության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նկատմամբ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կիրառվում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1.36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գործակից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: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կետի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կիրառության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իմաստով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՝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այլ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ինքնագնաց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մեքենաների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մեխանիզմների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ինչպես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նաև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լողամիջոցների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դրույքաչափը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սահմանվում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կետի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աղյուսակի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վերջին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սյունով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սահմանված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համապատասխան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(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ըստ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շարժիչի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հզորության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)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դրույքաչափի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կրկնապատիկի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չափով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011C7A" w:rsidRPr="00011C7A" w:rsidRDefault="00011C7A" w:rsidP="00973E3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b/>
          <w:bCs/>
          <w:color w:val="000000"/>
          <w:sz w:val="21"/>
          <w:szCs w:val="21"/>
        </w:rPr>
        <w:t xml:space="preserve">Գ Լ ՈՒ </w:t>
      </w:r>
      <w:proofErr w:type="gramStart"/>
      <w:r w:rsidRPr="00011C7A">
        <w:rPr>
          <w:rFonts w:ascii="Sylfaen" w:eastAsia="Times New Roman" w:hAnsi="Sylfaen" w:cs="Times New Roman"/>
          <w:b/>
          <w:bCs/>
          <w:color w:val="000000"/>
          <w:sz w:val="21"/>
          <w:szCs w:val="21"/>
        </w:rPr>
        <w:t>Խ  33</w:t>
      </w:r>
      <w:proofErr w:type="gramEnd"/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b/>
          <w:bCs/>
          <w:i/>
          <w:iCs/>
          <w:color w:val="000000"/>
          <w:sz w:val="21"/>
          <w:szCs w:val="21"/>
        </w:rPr>
        <w:t>ԲՆԱՊԱՀՊԱՆԱԿԱՆ ՀԱՐԿԻ ՀԱՇՎԱՐԿՈՒՄԸ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011C7A" w:rsidRPr="00011C7A" w:rsidTr="00011C7A">
        <w:trPr>
          <w:tblCellSpacing w:w="7" w:type="dxa"/>
        </w:trPr>
        <w:tc>
          <w:tcPr>
            <w:tcW w:w="2025" w:type="dxa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Հոդված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173.</w:t>
            </w:r>
          </w:p>
        </w:tc>
        <w:tc>
          <w:tcPr>
            <w:tcW w:w="0" w:type="auto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Հաշվետու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ժամանակաշրջանը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1.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վճարման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հաշվետու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ժամանակաշրջան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յուրաքանչյուր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հաշվետու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եռամսյակը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,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բացառությամբ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սույն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բաժնով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սահմանված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դեպքերի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011C7A" w:rsidRPr="00011C7A" w:rsidTr="00011C7A">
        <w:trPr>
          <w:tblCellSpacing w:w="7" w:type="dxa"/>
        </w:trPr>
        <w:tc>
          <w:tcPr>
            <w:tcW w:w="2025" w:type="dxa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Հոդված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174.</w:t>
            </w:r>
          </w:p>
        </w:tc>
        <w:tc>
          <w:tcPr>
            <w:tcW w:w="0" w:type="auto"/>
            <w:shd w:val="clear" w:color="auto" w:fill="FFFFFF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Պետական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բյուջե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վճարման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ենթակա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բնապահպանական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հարկի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 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հաշվարկման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 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ընդհանուր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color w:val="000000"/>
                <w:sz w:val="21"/>
                <w:szCs w:val="21"/>
              </w:rPr>
              <w:t>կարգը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lastRenderedPageBreak/>
        <w:t xml:space="preserve">1.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Պետական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բյուջե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վճարման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ենթակա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բնապահպանական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հաշվարկվում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է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Օրենսգրքի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164-րդ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հոդվածով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սահմանված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յուրաքանչյուր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օբյեկտի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՝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բազայի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և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դրույքաչափերի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հիման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վրա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՝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հաշվի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առնելով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հարկման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բազայի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չափաքանակները</w:t>
      </w:r>
      <w:proofErr w:type="spellEnd"/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: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011C7A" w:rsidRPr="00011C7A" w:rsidTr="00011C7A">
        <w:trPr>
          <w:tblCellSpacing w:w="7" w:type="dxa"/>
        </w:trPr>
        <w:tc>
          <w:tcPr>
            <w:tcW w:w="2025" w:type="dxa"/>
            <w:hideMark/>
          </w:tcPr>
          <w:p w:rsidR="00011C7A" w:rsidRPr="00011C7A" w:rsidRDefault="00011C7A" w:rsidP="00011C7A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Հոդված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181.</w:t>
            </w:r>
          </w:p>
        </w:tc>
        <w:tc>
          <w:tcPr>
            <w:tcW w:w="0" w:type="auto"/>
            <w:hideMark/>
          </w:tcPr>
          <w:p w:rsidR="00011C7A" w:rsidRPr="00011C7A" w:rsidRDefault="00011C7A" w:rsidP="00011C7A">
            <w:pPr>
              <w:spacing w:after="0" w:line="240" w:lineRule="auto"/>
              <w:rPr>
                <w:rFonts w:ascii="Sylfaen" w:eastAsia="Times New Roman" w:hAnsi="Sylfaen" w:cs="Times New Roman"/>
                <w:sz w:val="21"/>
                <w:szCs w:val="21"/>
              </w:rPr>
            </w:pP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Բնապահպանական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 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հարկի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 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գումարի</w:t>
            </w:r>
            <w:proofErr w:type="spellEnd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011C7A">
              <w:rPr>
                <w:rFonts w:ascii="Sylfaen" w:eastAsia="Times New Roman" w:hAnsi="Sylfaen" w:cs="Times New Roman"/>
                <w:b/>
                <w:bCs/>
                <w:sz w:val="21"/>
                <w:szCs w:val="21"/>
              </w:rPr>
              <w:t>վճարումը</w:t>
            </w:r>
            <w:proofErr w:type="spellEnd"/>
          </w:p>
        </w:tc>
      </w:tr>
    </w:tbl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011C7A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lang w:val="hy-AM"/>
        </w:rPr>
      </w:pPr>
    </w:p>
    <w:p w:rsidR="00011C7A" w:rsidRPr="00840303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highlight w:val="green"/>
          <w:lang w:val="hy-AM"/>
        </w:rPr>
      </w:pPr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  <w:lang w:val="hy-AM"/>
        </w:rPr>
        <w:t>2. Արտանետման շարժական աղբյուրներից մթնոլորտային օդ վնասակար նյութերի արտանետման համար բնապահպանական հարկը Հայաստանի Հանրապետության պետական բյուջե է վճարվում հետևյալ ժամկետներում ու կարգով.</w:t>
      </w:r>
    </w:p>
    <w:p w:rsidR="00011C7A" w:rsidRPr="005F07FB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highlight w:val="green"/>
          <w:lang w:val="hy-AM"/>
        </w:rPr>
      </w:pPr>
      <w:r w:rsidRPr="005F07FB">
        <w:rPr>
          <w:rFonts w:ascii="Sylfaen" w:eastAsia="Times New Roman" w:hAnsi="Sylfaen" w:cs="Times New Roman"/>
          <w:color w:val="000000"/>
          <w:sz w:val="21"/>
          <w:szCs w:val="21"/>
          <w:highlight w:val="green"/>
          <w:lang w:val="hy-AM"/>
        </w:rPr>
        <w:t>1) Հայաստանի Հանրապետությունում գրանցված (հաշվառված) և շահագործվող այն ավտոտրանսպորտային միջոցների, այլ ինքնագնաց մեքենաների և մեխանիզմների, ինչպես նաև լողամիջոցների համար, որոնց համար սահմանված է տեխնիկական զննության պահանջ, Օրենսգրքի 175-րդ հոդվածով սահմանված կարգով հաշվարկված բնապահպանական հարկը յուրաքանչյուր հարկային տարվա համար վճարվում է մինչև դրանց տարեկան տեխնիկական զննությունը, բացառությամբ սույն մասի 2-րդ կետով սահմանված դեպքերի.</w:t>
      </w:r>
    </w:p>
    <w:p w:rsidR="00011C7A" w:rsidRPr="00840303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</w:pPr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2) </w:t>
      </w:r>
      <w:proofErr w:type="spellStart"/>
      <w:proofErr w:type="gram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եթե</w:t>
      </w:r>
      <w:proofErr w:type="spellEnd"/>
      <w:proofErr w:type="gram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սույն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մասի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1-ին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կետում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նշված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դեպքում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տարեկան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տեխնիկական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զննության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փոխարեն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սահմանված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է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տեխնիկական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զննության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այլ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պարբերականություն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,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ապա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Օրենսգրքի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175-րդ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հոդվածով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սահմանված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կարգով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հաշվարկված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բնապահպանական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հարկը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վճարվում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է`</w:t>
      </w:r>
    </w:p>
    <w:p w:rsidR="00011C7A" w:rsidRPr="00840303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</w:pPr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ա. </w:t>
      </w:r>
      <w:proofErr w:type="spellStart"/>
      <w:proofErr w:type="gram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հարկային</w:t>
      </w:r>
      <w:proofErr w:type="spellEnd"/>
      <w:proofErr w:type="gram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տարվա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ընթացքում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երկու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տեխնիկական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զննություն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անցնելու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դեպքում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`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մինչև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հարկային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տարվա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երկրորդ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տեխնիկական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զննությունը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,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բ. </w:t>
      </w:r>
      <w:proofErr w:type="spellStart"/>
      <w:proofErr w:type="gram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երկու</w:t>
      </w:r>
      <w:proofErr w:type="spellEnd"/>
      <w:proofErr w:type="gram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հարկային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տարվա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ընթացքում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մեկ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տեխնիկական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զննություն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անցնելու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դեպքում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`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երկու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հարկային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տարիների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տարեկան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բնապահպանական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հարկի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գումարների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հանրագումարի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չափով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`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մինչև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յուրաքանչյուր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տեխնիկական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զննությունը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.</w:t>
      </w:r>
    </w:p>
    <w:p w:rsidR="00011C7A" w:rsidRP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3)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Հայաստանի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Հանրապետությունում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գրանցված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(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հաշվառված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) և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շահագործվող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այն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ավտոտրանսպորտային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միջոցների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,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այլ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ինքնագնաց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մեքենաների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և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մեխանիզմների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,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ինչպես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նաև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լողամիջոցների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համար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,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որոնց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համար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սահմանված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չէ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տեխնիկական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զննության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պահանջ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,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Օրենսգրքի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175-րդ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հոդվածով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սահմանված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կարգով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հաշվարկված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բնապահպանական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հարկը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յուրաքանչյուր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հարկային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տարվա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համար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վճարվում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է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մինչև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տվյալ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հարկային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տարվա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դեկտեմբերի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 xml:space="preserve"> 1-ը </w:t>
      </w:r>
      <w:proofErr w:type="spellStart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ներառյալ</w:t>
      </w:r>
      <w:proofErr w:type="spellEnd"/>
      <w:r w:rsidRPr="00840303">
        <w:rPr>
          <w:rFonts w:ascii="Sylfaen" w:eastAsia="Times New Roman" w:hAnsi="Sylfaen" w:cs="Times New Roman"/>
          <w:color w:val="000000"/>
          <w:sz w:val="21"/>
          <w:szCs w:val="21"/>
          <w:highlight w:val="green"/>
        </w:rPr>
        <w:t>.</w:t>
      </w:r>
    </w:p>
    <w:p w:rsidR="00011C7A" w:rsidRDefault="00011C7A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5A7BCE" w:rsidRDefault="005A7BCE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5A7BCE" w:rsidRDefault="005A7BCE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5A7BCE" w:rsidRDefault="005A7BCE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5A7BCE" w:rsidRDefault="005A7BCE" w:rsidP="005A7BCE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</w:rPr>
      </w:pPr>
      <w:r>
        <w:rPr>
          <w:rFonts w:ascii="Sylfaen" w:hAnsi="Sylfaen"/>
          <w:color w:val="000000"/>
          <w:sz w:val="21"/>
          <w:szCs w:val="21"/>
        </w:rPr>
        <w:t xml:space="preserve">15. </w:t>
      </w:r>
      <w:proofErr w:type="spellStart"/>
      <w:r>
        <w:rPr>
          <w:rFonts w:ascii="Sylfaen" w:hAnsi="Sylfaen"/>
          <w:color w:val="000000"/>
          <w:sz w:val="21"/>
          <w:szCs w:val="21"/>
        </w:rPr>
        <w:t>Տեխնիկական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զննության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կտրոն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ստանալու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համար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տիրապետողն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սպասարկող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բանկերում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կատարում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է </w:t>
      </w:r>
      <w:proofErr w:type="spellStart"/>
      <w:r>
        <w:rPr>
          <w:rFonts w:ascii="Sylfaen" w:hAnsi="Sylfaen"/>
          <w:color w:val="000000"/>
          <w:sz w:val="21"/>
          <w:szCs w:val="21"/>
        </w:rPr>
        <w:t>հետևյալ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վճարումները</w:t>
      </w:r>
      <w:proofErr w:type="spellEnd"/>
      <w:r>
        <w:rPr>
          <w:rFonts w:ascii="Sylfaen" w:hAnsi="Sylfaen"/>
          <w:color w:val="000000"/>
          <w:sz w:val="21"/>
          <w:szCs w:val="21"/>
        </w:rPr>
        <w:t>`</w:t>
      </w:r>
    </w:p>
    <w:p w:rsidR="005A7BCE" w:rsidRDefault="005A7BCE" w:rsidP="005A7BCE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</w:rPr>
      </w:pPr>
      <w:r>
        <w:rPr>
          <w:rFonts w:ascii="Sylfaen" w:hAnsi="Sylfaen"/>
          <w:color w:val="000000"/>
          <w:sz w:val="21"/>
          <w:szCs w:val="21"/>
        </w:rPr>
        <w:t xml:space="preserve">1) </w:t>
      </w:r>
      <w:proofErr w:type="spellStart"/>
      <w:r>
        <w:rPr>
          <w:rFonts w:ascii="Sylfaen" w:hAnsi="Sylfaen"/>
          <w:color w:val="000000"/>
          <w:sz w:val="21"/>
          <w:szCs w:val="21"/>
        </w:rPr>
        <w:t>Հայաստանի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Հանրապետության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հարկային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օրենսգրքով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սահմանված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կարգով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հաշվարկված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բնապահպանական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հարկը</w:t>
      </w:r>
      <w:proofErr w:type="spellEnd"/>
      <w:r>
        <w:rPr>
          <w:rFonts w:ascii="Sylfaen" w:hAnsi="Sylfaen"/>
          <w:color w:val="000000"/>
          <w:sz w:val="21"/>
          <w:szCs w:val="21"/>
        </w:rPr>
        <w:t>՝</w:t>
      </w:r>
    </w:p>
    <w:p w:rsidR="005A7BCE" w:rsidRDefault="005A7BCE" w:rsidP="005A7BCE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</w:rPr>
      </w:pPr>
      <w:r>
        <w:rPr>
          <w:rFonts w:ascii="Sylfaen" w:hAnsi="Sylfaen"/>
          <w:color w:val="000000"/>
          <w:sz w:val="21"/>
          <w:szCs w:val="21"/>
        </w:rPr>
        <w:t xml:space="preserve">ա. </w:t>
      </w:r>
      <w:proofErr w:type="spellStart"/>
      <w:proofErr w:type="gramStart"/>
      <w:r>
        <w:rPr>
          <w:rFonts w:ascii="Sylfaen" w:hAnsi="Sylfaen"/>
          <w:color w:val="000000"/>
          <w:sz w:val="21"/>
          <w:szCs w:val="21"/>
        </w:rPr>
        <w:t>առաջին</w:t>
      </w:r>
      <w:proofErr w:type="spellEnd"/>
      <w:proofErr w:type="gram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տեխնիկական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զննություն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անցնելու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դեպքում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վճարվում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է </w:t>
      </w:r>
      <w:proofErr w:type="spellStart"/>
      <w:r>
        <w:rPr>
          <w:rFonts w:ascii="Sylfaen" w:hAnsi="Sylfaen"/>
          <w:color w:val="000000"/>
          <w:sz w:val="21"/>
          <w:szCs w:val="21"/>
        </w:rPr>
        <w:t>մինչև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առաջին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տեխնիկական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զննությունը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, </w:t>
      </w:r>
      <w:proofErr w:type="spellStart"/>
      <w:r>
        <w:rPr>
          <w:rFonts w:ascii="Sylfaen" w:hAnsi="Sylfaen"/>
          <w:color w:val="000000"/>
          <w:sz w:val="21"/>
          <w:szCs w:val="21"/>
        </w:rPr>
        <w:t>իսկ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տարեկան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տեխնիկական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զննություն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անցնելու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դեպքում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` </w:t>
      </w:r>
      <w:proofErr w:type="spellStart"/>
      <w:r>
        <w:rPr>
          <w:rFonts w:ascii="Sylfaen" w:hAnsi="Sylfaen"/>
          <w:color w:val="000000"/>
          <w:sz w:val="21"/>
          <w:szCs w:val="21"/>
        </w:rPr>
        <w:t>մինչև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տարեկան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տեխնիկական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զննությունը</w:t>
      </w:r>
      <w:proofErr w:type="spellEnd"/>
      <w:r>
        <w:rPr>
          <w:rFonts w:ascii="Sylfaen" w:hAnsi="Sylfaen"/>
          <w:color w:val="000000"/>
          <w:sz w:val="21"/>
          <w:szCs w:val="21"/>
        </w:rPr>
        <w:t>,</w:t>
      </w:r>
    </w:p>
    <w:p w:rsidR="005A7BCE" w:rsidRDefault="005A7BCE" w:rsidP="005A7BCE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</w:rPr>
      </w:pPr>
      <w:r>
        <w:rPr>
          <w:rFonts w:ascii="Sylfaen" w:hAnsi="Sylfaen"/>
          <w:color w:val="000000"/>
          <w:sz w:val="21"/>
          <w:szCs w:val="21"/>
        </w:rPr>
        <w:t xml:space="preserve">բ. </w:t>
      </w:r>
      <w:proofErr w:type="spellStart"/>
      <w:proofErr w:type="gramStart"/>
      <w:r>
        <w:rPr>
          <w:rFonts w:ascii="Sylfaen" w:hAnsi="Sylfaen"/>
          <w:color w:val="000000"/>
          <w:sz w:val="21"/>
          <w:szCs w:val="21"/>
        </w:rPr>
        <w:t>երկու</w:t>
      </w:r>
      <w:proofErr w:type="spellEnd"/>
      <w:proofErr w:type="gram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հարկային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տարվա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ընթացքում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մեկ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տեխնիկական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զննություն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անցնելու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դեպքում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` </w:t>
      </w:r>
      <w:proofErr w:type="spellStart"/>
      <w:r>
        <w:rPr>
          <w:rFonts w:ascii="Sylfaen" w:hAnsi="Sylfaen"/>
          <w:color w:val="000000"/>
          <w:sz w:val="21"/>
          <w:szCs w:val="21"/>
        </w:rPr>
        <w:t>բնապահպանական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հարկի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տարեկան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գումարի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կրկնապատիկի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չափով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վճարվում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է </w:t>
      </w:r>
      <w:proofErr w:type="spellStart"/>
      <w:r>
        <w:rPr>
          <w:rFonts w:ascii="Sylfaen" w:hAnsi="Sylfaen"/>
          <w:color w:val="000000"/>
          <w:sz w:val="21"/>
          <w:szCs w:val="21"/>
        </w:rPr>
        <w:t>մինչև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յուրաքանչյուր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տեխնիկական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զննությունը</w:t>
      </w:r>
      <w:proofErr w:type="spellEnd"/>
      <w:r>
        <w:rPr>
          <w:rFonts w:ascii="Sylfaen" w:hAnsi="Sylfaen"/>
          <w:color w:val="000000"/>
          <w:sz w:val="21"/>
          <w:szCs w:val="21"/>
        </w:rPr>
        <w:t>.</w:t>
      </w:r>
    </w:p>
    <w:p w:rsidR="005A7BCE" w:rsidRDefault="005A7BCE" w:rsidP="005A7BCE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</w:rPr>
      </w:pPr>
      <w:r>
        <w:rPr>
          <w:rFonts w:ascii="Sylfaen" w:hAnsi="Sylfaen"/>
          <w:color w:val="000000"/>
          <w:sz w:val="21"/>
          <w:szCs w:val="21"/>
        </w:rPr>
        <w:lastRenderedPageBreak/>
        <w:t xml:space="preserve">2) </w:t>
      </w:r>
      <w:proofErr w:type="spellStart"/>
      <w:proofErr w:type="gramStart"/>
      <w:r>
        <w:rPr>
          <w:rFonts w:ascii="Sylfaen" w:hAnsi="Sylfaen"/>
          <w:color w:val="000000"/>
          <w:sz w:val="21"/>
          <w:szCs w:val="21"/>
        </w:rPr>
        <w:t>համապատասխան</w:t>
      </w:r>
      <w:proofErr w:type="spellEnd"/>
      <w:proofErr w:type="gram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տրանսպորտային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միջոցի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տեխնիկական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զննության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անցկացման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համար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նախատեսված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ծառայության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վճարը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, </w:t>
      </w:r>
      <w:proofErr w:type="spellStart"/>
      <w:r>
        <w:rPr>
          <w:rFonts w:ascii="Sylfaen" w:hAnsi="Sylfaen"/>
          <w:color w:val="000000"/>
          <w:sz w:val="21"/>
          <w:szCs w:val="21"/>
        </w:rPr>
        <w:t>որը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բանկի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կողմից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փոխանցվում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է </w:t>
      </w:r>
      <w:proofErr w:type="spellStart"/>
      <w:r>
        <w:rPr>
          <w:rFonts w:ascii="Sylfaen" w:hAnsi="Sylfaen"/>
          <w:color w:val="000000"/>
          <w:sz w:val="21"/>
          <w:szCs w:val="21"/>
        </w:rPr>
        <w:t>Հայաստանի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Հանրապետության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ֆինանսների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նախարարության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կենտրոնական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գանձապետարանում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բացված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համապատասխան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կուտակային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հաշվին</w:t>
      </w:r>
      <w:proofErr w:type="spellEnd"/>
      <w:r>
        <w:rPr>
          <w:rFonts w:ascii="Sylfaen" w:hAnsi="Sylfaen"/>
          <w:color w:val="000000"/>
          <w:sz w:val="21"/>
          <w:szCs w:val="21"/>
        </w:rPr>
        <w:t>.</w:t>
      </w:r>
    </w:p>
    <w:p w:rsidR="005A7BCE" w:rsidRDefault="005A7BCE" w:rsidP="005A7BCE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</w:rPr>
      </w:pPr>
      <w:r>
        <w:rPr>
          <w:rFonts w:ascii="Sylfaen" w:hAnsi="Sylfaen"/>
          <w:color w:val="000000"/>
          <w:sz w:val="21"/>
          <w:szCs w:val="21"/>
        </w:rPr>
        <w:t xml:space="preserve">3) </w:t>
      </w:r>
      <w:proofErr w:type="spellStart"/>
      <w:proofErr w:type="gramStart"/>
      <w:r>
        <w:rPr>
          <w:rFonts w:ascii="Sylfaen" w:hAnsi="Sylfaen"/>
          <w:color w:val="000000"/>
          <w:sz w:val="21"/>
          <w:szCs w:val="21"/>
        </w:rPr>
        <w:t>օրենքով</w:t>
      </w:r>
      <w:proofErr w:type="spellEnd"/>
      <w:proofErr w:type="gram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սահմանված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կարգով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նախատեսված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պետական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տուրքը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, </w:t>
      </w:r>
      <w:proofErr w:type="spellStart"/>
      <w:r>
        <w:rPr>
          <w:rFonts w:ascii="Sylfaen" w:hAnsi="Sylfaen"/>
          <w:color w:val="000000"/>
          <w:sz w:val="21"/>
          <w:szCs w:val="21"/>
        </w:rPr>
        <w:t>որը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բանկի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կողմից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փոխանցվում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է </w:t>
      </w:r>
      <w:proofErr w:type="spellStart"/>
      <w:r>
        <w:rPr>
          <w:rFonts w:ascii="Sylfaen" w:hAnsi="Sylfaen"/>
          <w:color w:val="000000"/>
          <w:sz w:val="21"/>
          <w:szCs w:val="21"/>
        </w:rPr>
        <w:t>պետական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բյուջեի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համապատասխան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հաշվեհամարին</w:t>
      </w:r>
      <w:proofErr w:type="spellEnd"/>
      <w:r>
        <w:rPr>
          <w:rFonts w:ascii="Sylfaen" w:hAnsi="Sylfaen"/>
          <w:color w:val="000000"/>
          <w:sz w:val="21"/>
          <w:szCs w:val="21"/>
        </w:rPr>
        <w:t>.</w:t>
      </w:r>
    </w:p>
    <w:p w:rsidR="005A7BCE" w:rsidRDefault="005A7BCE" w:rsidP="005A7BCE">
      <w:pPr>
        <w:pStyle w:val="NormalWeb"/>
        <w:shd w:val="clear" w:color="auto" w:fill="FFFFFF"/>
        <w:spacing w:before="0" w:beforeAutospacing="0" w:after="0" w:afterAutospacing="0"/>
        <w:ind w:firstLine="375"/>
        <w:rPr>
          <w:rFonts w:ascii="Sylfaen" w:hAnsi="Sylfaen"/>
          <w:color w:val="000000"/>
          <w:sz w:val="21"/>
          <w:szCs w:val="21"/>
        </w:rPr>
      </w:pPr>
      <w:r>
        <w:rPr>
          <w:rFonts w:ascii="Sylfaen" w:hAnsi="Sylfaen"/>
          <w:color w:val="000000"/>
          <w:sz w:val="21"/>
          <w:szCs w:val="21"/>
        </w:rPr>
        <w:t xml:space="preserve">4) </w:t>
      </w:r>
      <w:proofErr w:type="spellStart"/>
      <w:proofErr w:type="gramStart"/>
      <w:r>
        <w:rPr>
          <w:rFonts w:ascii="Sylfaen" w:hAnsi="Sylfaen"/>
          <w:color w:val="000000"/>
          <w:sz w:val="21"/>
          <w:szCs w:val="21"/>
        </w:rPr>
        <w:t>համապատասխան</w:t>
      </w:r>
      <w:proofErr w:type="spellEnd"/>
      <w:proofErr w:type="gram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տրանսպորտային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միջոցի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(</w:t>
      </w:r>
      <w:proofErr w:type="spellStart"/>
      <w:r>
        <w:rPr>
          <w:rFonts w:ascii="Sylfaen" w:hAnsi="Sylfaen"/>
          <w:color w:val="000000"/>
          <w:sz w:val="21"/>
          <w:szCs w:val="21"/>
        </w:rPr>
        <w:t>միջոցների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) </w:t>
      </w:r>
      <w:proofErr w:type="spellStart"/>
      <w:r>
        <w:rPr>
          <w:rFonts w:ascii="Sylfaen" w:hAnsi="Sylfaen"/>
          <w:color w:val="000000"/>
          <w:sz w:val="21"/>
          <w:szCs w:val="21"/>
        </w:rPr>
        <w:t>համար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հաշվարկված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գույքահարկը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` </w:t>
      </w:r>
      <w:proofErr w:type="spellStart"/>
      <w:r>
        <w:rPr>
          <w:rFonts w:ascii="Sylfaen" w:hAnsi="Sylfaen"/>
          <w:color w:val="000000"/>
          <w:sz w:val="21"/>
          <w:szCs w:val="21"/>
        </w:rPr>
        <w:t>գույքահարկի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պարտավորության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չափի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վերաբերյալ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տեղեկանքի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հիման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վրա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, </w:t>
      </w:r>
      <w:proofErr w:type="spellStart"/>
      <w:r>
        <w:rPr>
          <w:rFonts w:ascii="Sylfaen" w:hAnsi="Sylfaen"/>
          <w:color w:val="000000"/>
          <w:sz w:val="21"/>
          <w:szCs w:val="21"/>
        </w:rPr>
        <w:t>որը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բանկի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կողմից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փոխանցվում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է </w:t>
      </w:r>
      <w:proofErr w:type="spellStart"/>
      <w:r>
        <w:rPr>
          <w:rFonts w:ascii="Sylfaen" w:hAnsi="Sylfaen"/>
          <w:color w:val="000000"/>
          <w:sz w:val="21"/>
          <w:szCs w:val="21"/>
        </w:rPr>
        <w:t>համապատասխան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համայնքի</w:t>
      </w:r>
      <w:proofErr w:type="spellEnd"/>
      <w:r>
        <w:rPr>
          <w:rFonts w:ascii="Sylfaen" w:hAnsi="Sylfaen"/>
          <w:color w:val="000000"/>
          <w:sz w:val="21"/>
          <w:szCs w:val="21"/>
        </w:rPr>
        <w:t xml:space="preserve"> </w:t>
      </w:r>
      <w:proofErr w:type="spellStart"/>
      <w:r>
        <w:rPr>
          <w:rFonts w:ascii="Sylfaen" w:hAnsi="Sylfaen"/>
          <w:color w:val="000000"/>
          <w:sz w:val="21"/>
          <w:szCs w:val="21"/>
        </w:rPr>
        <w:t>բյուջե</w:t>
      </w:r>
      <w:proofErr w:type="spellEnd"/>
      <w:r>
        <w:rPr>
          <w:rFonts w:ascii="Sylfaen" w:hAnsi="Sylfaen"/>
          <w:color w:val="000000"/>
          <w:sz w:val="21"/>
          <w:szCs w:val="21"/>
        </w:rPr>
        <w:t>:</w:t>
      </w:r>
    </w:p>
    <w:p w:rsidR="005A7BCE" w:rsidRDefault="005A7BCE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5F07FB" w:rsidRDefault="005F07FB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p w:rsidR="005F07FB" w:rsidRDefault="005F07FB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  <w:bookmarkStart w:id="0" w:name="_GoBack"/>
      <w:bookmarkEnd w:id="0"/>
    </w:p>
    <w:p w:rsidR="005F07FB" w:rsidRPr="005F07FB" w:rsidRDefault="005F07FB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2.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Մինչև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օրենքով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սահմանված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կարգով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Հայաստանի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Հանրապետության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հանրային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ծառայությունները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կարգավորող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հանձնաժողովի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կողմից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տեխնիկական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զննության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անցկացման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սակագների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սահմանումն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ու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դրանք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ուժի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մեջ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մտնելը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՝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տրանսպորտային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միջոցների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տեխնիկական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զննությունն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անցկացնել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հետևյալ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գումարներից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ոչ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ավելի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սակագներով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(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ներառյալ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ավելացված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արժեքի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հարկը</w:t>
      </w:r>
      <w:proofErr w:type="spellEnd"/>
      <w:proofErr w:type="gram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)`</w:t>
      </w:r>
      <w:proofErr w:type="gramEnd"/>
    </w:p>
    <w:p w:rsidR="005F07FB" w:rsidRPr="005F07FB" w:rsidRDefault="005F07FB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1) </w:t>
      </w:r>
      <w:proofErr w:type="spellStart"/>
      <w:proofErr w:type="gram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թեթև</w:t>
      </w:r>
      <w:proofErr w:type="spellEnd"/>
      <w:proofErr w:type="gram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մարդատար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ավտոմոբիլներ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` 8000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դրամ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.</w:t>
      </w:r>
    </w:p>
    <w:p w:rsidR="005F07FB" w:rsidRPr="005F07FB" w:rsidRDefault="005F07FB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2) </w:t>
      </w:r>
      <w:proofErr w:type="spellStart"/>
      <w:proofErr w:type="gram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մինչև</w:t>
      </w:r>
      <w:proofErr w:type="spellEnd"/>
      <w:proofErr w:type="gram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3500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կգ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զանգվածով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բեռնատար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ավտոմոբիլներ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և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մինչև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17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նստատեղ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ունեցող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ավտոբուսներ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` 10000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դրամ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.</w:t>
      </w:r>
    </w:p>
    <w:p w:rsidR="005F07FB" w:rsidRPr="005F07FB" w:rsidRDefault="005F07FB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3) 3500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կգ-ից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ավելի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զանգվածով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բեռնատար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ավտոմոբիլներ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և 17-ից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ավելի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նստատեղ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ունեցող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ավտոբուսներ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` 13000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դրամ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.</w:t>
      </w:r>
    </w:p>
    <w:p w:rsidR="005F07FB" w:rsidRPr="005F07FB" w:rsidRDefault="005F07FB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4) </w:t>
      </w:r>
      <w:proofErr w:type="spellStart"/>
      <w:proofErr w:type="gram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կցորդներ</w:t>
      </w:r>
      <w:proofErr w:type="spellEnd"/>
      <w:proofErr w:type="gram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և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կիսակցորդներ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՝ 6000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դրամ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.</w:t>
      </w:r>
    </w:p>
    <w:p w:rsidR="005F07FB" w:rsidRPr="005F07FB" w:rsidRDefault="005F07FB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5) </w:t>
      </w:r>
      <w:proofErr w:type="spellStart"/>
      <w:proofErr w:type="gram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մոտոցիկլետներ</w:t>
      </w:r>
      <w:proofErr w:type="spellEnd"/>
      <w:proofErr w:type="gram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և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մոպեդներ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՝ 6000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դրամ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:</w:t>
      </w:r>
    </w:p>
    <w:p w:rsidR="005F07FB" w:rsidRPr="005F07FB" w:rsidRDefault="005F07FB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3.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Սույն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որոշումն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ուժի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մեջ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է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մտնում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պաշտոնական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հրապարակման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օրվան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հաջորդող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տասներորդ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 xml:space="preserve"> </w:t>
      </w:r>
      <w:proofErr w:type="spellStart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օրը</w:t>
      </w:r>
      <w:proofErr w:type="spellEnd"/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:</w:t>
      </w:r>
    </w:p>
    <w:p w:rsidR="005F07FB" w:rsidRPr="005F07FB" w:rsidRDefault="005F07FB" w:rsidP="005F07FB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</w:rPr>
      </w:pPr>
      <w:r w:rsidRPr="005F07FB">
        <w:rPr>
          <w:rFonts w:ascii="Arial Unicode" w:eastAsia="Times New Roman" w:hAnsi="Arial Unicode" w:cs="Times New Roman"/>
          <w:color w:val="000000"/>
          <w:sz w:val="21"/>
          <w:szCs w:val="21"/>
        </w:rPr>
        <w:t> </w:t>
      </w:r>
    </w:p>
    <w:p w:rsidR="005F07FB" w:rsidRPr="00011C7A" w:rsidRDefault="005F07FB" w:rsidP="00011C7A">
      <w:pPr>
        <w:shd w:val="clear" w:color="auto" w:fill="FFFFFF"/>
        <w:spacing w:after="0" w:line="240" w:lineRule="auto"/>
        <w:ind w:firstLine="375"/>
        <w:rPr>
          <w:rFonts w:ascii="Sylfaen" w:eastAsia="Times New Roman" w:hAnsi="Sylfaen" w:cs="Times New Roman"/>
          <w:color w:val="000000"/>
          <w:sz w:val="21"/>
          <w:szCs w:val="21"/>
        </w:rPr>
      </w:pPr>
    </w:p>
    <w:sectPr w:rsidR="005F07FB" w:rsidRPr="00011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Unicode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7A"/>
    <w:rsid w:val="00011C7A"/>
    <w:rsid w:val="00162875"/>
    <w:rsid w:val="003D12AA"/>
    <w:rsid w:val="004D4CDA"/>
    <w:rsid w:val="005A7BCE"/>
    <w:rsid w:val="005F07FB"/>
    <w:rsid w:val="00840303"/>
    <w:rsid w:val="008A208D"/>
    <w:rsid w:val="00973E3A"/>
    <w:rsid w:val="009D7A5A"/>
    <w:rsid w:val="00D85914"/>
    <w:rsid w:val="00FA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5EAE"/>
  <w15:chartTrackingRefBased/>
  <w15:docId w15:val="{BC39946E-73F4-475B-88B0-EE383346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6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5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Zhor</dc:creator>
  <cp:keywords/>
  <dc:description/>
  <cp:lastModifiedBy>Zhor</cp:lastModifiedBy>
  <cp:revision>4</cp:revision>
  <dcterms:created xsi:type="dcterms:W3CDTF">2021-01-10T07:21:00Z</dcterms:created>
  <dcterms:modified xsi:type="dcterms:W3CDTF">2021-01-21T07:46:00Z</dcterms:modified>
</cp:coreProperties>
</file>