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6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именуемый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{{lessee_director_position_rod}} {{lessee_director_name}}, {{lessee_director_acting_rod}}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{{lessor_director_position_rod}} {{lessor_director_name}}, {{lessor_director_acting_rod}}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{{unloading_2_address}}.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{{planned_completion_date}}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{{unloading_3_address}}.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{{unloading_4_address}}.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{{unloading_5_address}}.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{{unloading_6_address}}.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{{unloading_7_address}}.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{{unloading_8_address}}.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{{unloading_9_address}}.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{{unloading_10_address}}.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{{sum_wo_vat}} руб. ({{sum_wo_vat_words}}) — стоимость без НДС;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НДС {{vat_rate}} — {{sum_vat}} руб. ({{sum_vat_words}});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Итого с НДС: 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общую систему налогообложения и является плательщиком НДС. При изменении обязательной ставки НДС налог определяется по ставке, действующей в соответствии с законодательством на момент определения налоговой базы; изменение общей суммы допускается только в случаях, прямо предусмотренных законодательством или отдельным письменным соглашением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4.5. Оплата производится в течение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{{payment_days}}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({{payment_days_words}})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Фактический адрес: {{lessee_actual_address}}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Фактический адрес: {{lessor_actual_address}}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{{transfer_place}}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{{transfer_datetime}}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{{transfer_mileage}}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{{transfer_condition}}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{{transfer_documents}}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{{return_place}}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{{return_datetime}}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{{return_mileage}}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{{return_condition}}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{{return_notes}}</w:t>
            </w: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