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именуемое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{{lessee_director_position_rod}} {{lessee_director_name}}, {{lessee_director_acting_rod}}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{{lessor_director_position_rod}} {{lessor_director_name}}, {{lessor_director_acting_rod}}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{{unloading_2_address}}.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{{planned_completion_date}}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{{unloading_3_address}}.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{{unloading_4_address}}.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{{unloading_5_address}}.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{{unloading_6_address}}.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{{unloading_7_address}}.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{{unloading_8_address}}.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{{unloading_9_address}}.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{{unloading_10_address}}.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4.5. Оплата производится в течение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{{payment_days}}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({{payment_days_words}})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КПП {{lessee_kpp}}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{{lessee_actual_address}}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{{lessor_actual_address}}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{{transfer_documents}}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{{return_notes}}</w:t>
            </w: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