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cs="Times New Roman" w:eastAsia="Times New Roman"/>
          <w:b/>
          <w:sz w:val="36"/>
          <w:u w:val="none"/>
        </w:rPr>
        <w:t xml:space="preserve">ДОГОВОР-ЗАЯВКА № </w:t>
      </w:r>
      <w:r>
        <w:rPr>
          <w:rFonts w:ascii="Times New Roman" w:hAnsi="Times New Roman" w:cs="Times New Roman" w:eastAsia="Times New Roman"/>
          <w:b/>
          <w:sz w:val="36"/>
          <w:u w:val="none"/>
        </w:rPr>
        <w:t xml:space="preserve">ФМ-2026-1</w:t>
      </w: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к Генеральному договору на перевозку грузов автотранспортом</w:t>
      </w: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№ 1 от «28» ноября 2025 г.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tabs>
          <w:tab w:pos="9921" w:val="right"/>
        </w:tabs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г. Москва</w:t>
        <w:tab/>
      </w:r>
      <w:r>
        <w:rPr>
          <w:rFonts w:ascii="Times New Roman" w:hAnsi="Times New Roman" w:cs="Times New Roman" w:eastAsia="Times New Roman"/>
          <w:b w:val="0"/>
          <w:sz w:val="22"/>
          <w:u w:val="none"/>
        </w:rPr>
        <w:t xml:space="preserve">«24» июля 2026 г.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ООО «ТЕХНОЛОГИСТИКА» (Экспедитор) и ООО «Формика» (Заказчик), действующие на основании Генерального договора № 1 от «28» ноября 2025 г., согласовали следующие условия перевозки: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spacing w:before="12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>1. ИНФОРМАЦИЯ О ГРУЗЕ</w:t>
      </w:r>
    </w:p>
    <w:tbl>
      <w:tblPr>
        <w:tblStyle w:val="TableGrid"/>
        <w:tblW w:type="dxa" w:w="10023"/>
        <w:tblLayout w:type="fixed"/>
        <w:tblLook w:firstColumn="1" w:firstRow="1" w:lastColumn="0" w:lastRow="0" w:noHBand="0" w:noVBand="1" w:val="04A0"/>
      </w:tblPr>
      <w:tblGrid>
        <w:gridCol w:w="1000"/>
        <w:gridCol w:w="4770"/>
        <w:gridCol w:w="4253"/>
      </w:tblGrid>
      <w:tr>
        <w:tc>
          <w:tcPr>
            <w:tcW w:type="dxa" w:w="1000"/>
            <w:shd w:val="clear" w:color="auto" w:fill="E5E5E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№</w:t>
            </w:r>
          </w:p>
        </w:tc>
        <w:tc>
          <w:tcPr>
            <w:tcW w:type="dxa" w:w="4770"/>
            <w:shd w:val="clear" w:color="auto" w:fill="E5E5E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Марка, модель</w:t>
            </w:r>
          </w:p>
        </w:tc>
        <w:tc>
          <w:tcPr>
            <w:tcW w:type="dxa" w:w="4253"/>
            <w:shd w:val="clear" w:color="auto" w:fill="E5E5E5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VIN-номер</w:t>
            </w:r>
          </w:p>
        </w:tc>
      </w:tr>
      <w:tr>
        <w:tc>
          <w:tcPr>
            <w:tcW w:type="dxa" w:w="100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1</w:t>
            </w:r>
          </w:p>
        </w:tc>
        <w:tc>
          <w:tcPr>
            <w:tcW w:type="dxa" w:w="477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 xml:space="preserve">МОДЕЛЬ 1</w:t>
            </w:r>
          </w:p>
        </w:tc>
        <w:tc>
          <w:tcPr>
            <w:tcW w:type="dxa" w:w="425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 xml:space="preserve">EC3TEUMB0T0000001</w:t>
            </w:r>
          </w:p>
        </w:tc>
      </w:tr>
      <w:tr>
        <w:tc>
          <w:tcPr>
            <w:tcW w:type="dxa" w:w="100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2</w:t>
            </w:r>
          </w:p>
        </w:tc>
        <w:tc>
          <w:tcPr>
            <w:tcW w:type="dxa" w:w="477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 xml:space="preserve">МОДЕЛЬ 2</w:t>
            </w:r>
          </w:p>
        </w:tc>
        <w:tc>
          <w:tcPr>
            <w:tcW w:type="dxa" w:w="425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 xml:space="preserve">EC3TEUMB0T0000002</w:t>
            </w:r>
          </w:p>
        </w:tc>
      </w:tr>
      <w:tr>
        <w:tc>
          <w:tcPr>
            <w:tcW w:type="dxa" w:w="100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3</w:t>
            </w:r>
          </w:p>
        </w:tc>
        <w:tc>
          <w:tcPr>
            <w:tcW w:type="dxa" w:w="477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 xml:space="preserve">МОДЕЛЬ 3</w:t>
            </w:r>
          </w:p>
        </w:tc>
        <w:tc>
          <w:tcPr>
            <w:tcW w:type="dxa" w:w="425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 xml:space="preserve">EC3TEUMB0T0000003</w:t>
            </w:r>
          </w:p>
        </w:tc>
      </w:tr>
      <w:tr>
        <w:tc>
          <w:tcPr>
            <w:tcW w:type="dxa" w:w="100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4</w:t>
            </w:r>
          </w:p>
        </w:tc>
        <w:tc>
          <w:tcPr>
            <w:tcW w:type="dxa" w:w="4770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 xml:space="preserve">МОДЕЛЬ 4</w:t>
            </w:r>
          </w:p>
        </w:tc>
        <w:tc>
          <w:tcPr>
            <w:tcW w:type="dxa" w:w="4253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 xml:space="preserve">EC3TEUMB0T0000004</w:t>
            </w:r>
          </w:p>
        </w:tc>
      </w:tr>
    </w:tbl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spacing w:before="12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 xml:space="preserve">2. МАРШРУТ ПЕРЕВОЗКИ: </w:t>
      </w:r>
      <w:r>
        <w:rPr>
          <w:rFonts w:ascii="Times New Roman" w:hAnsi="Times New Roman" w:cs="Times New Roman" w:eastAsia="Times New Roman"/>
          <w:b w:val="0"/>
          <w:sz w:val="22"/>
          <w:u w:val="single"/>
        </w:rPr>
        <w:t xml:space="preserve">г. Воронеж - г. Москва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 xml:space="preserve">Пункт погрузки: </w:t>
      </w:r>
      <w:r>
        <w:rPr>
          <w:rFonts w:ascii="Times New Roman" w:hAnsi="Times New Roman" w:cs="Times New Roman" w:eastAsia="Times New Roman"/>
          <w:b w:val="0"/>
          <w:sz w:val="22"/>
          <w:u w:val="none"/>
        </w:rPr>
        <w:t xml:space="preserve">г. Воронеж, ул. Остужева 52Б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 xml:space="preserve">Дата и время: </w:t>
      </w:r>
      <w:r>
        <w:rPr>
          <w:rFonts w:ascii="Times New Roman" w:hAnsi="Times New Roman" w:cs="Times New Roman" w:eastAsia="Times New Roman"/>
          <w:b w:val="0"/>
          <w:sz w:val="22"/>
          <w:u w:val="none"/>
        </w:rPr>
        <w:t xml:space="preserve">27.07.2026 г. с 09:00 до 15:00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 xml:space="preserve">Пункт выгрузки: </w:t>
      </w:r>
      <w:r>
        <w:rPr>
          <w:rFonts w:ascii="Times New Roman" w:hAnsi="Times New Roman" w:cs="Times New Roman" w:eastAsia="Times New Roman"/>
          <w:b w:val="0"/>
          <w:sz w:val="22"/>
          <w:u w:val="none"/>
        </w:rPr>
        <w:t xml:space="preserve">г. Москва, Перерва 19 стр 3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 xml:space="preserve">Срок доставки: </w:t>
      </w:r>
      <w:r>
        <w:rPr>
          <w:rFonts w:ascii="Times New Roman" w:hAnsi="Times New Roman" w:cs="Times New Roman" w:eastAsia="Times New Roman"/>
          <w:b w:val="0"/>
          <w:sz w:val="22"/>
          <w:u w:val="none"/>
        </w:rPr>
        <w:t>3 календарных дня с момента погрузки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spacing w:before="12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>3. ИНФОРМАЦИЯ ОБ ИСПОЛНИТЕЛЕ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>Водитель: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 xml:space="preserve">ФИО: Иванов Иван Иванович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 xml:space="preserve">Дата рождения: 01.01.1980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 xml:space="preserve">Паспорт: 18 22 926830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 xml:space="preserve">Выдан: Отделом УФМС России по г. Москве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 xml:space="preserve">Дата выдачи: 30.01.2023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 xml:space="preserve">Водительское удостоверение: 99 36 123456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 xml:space="preserve">Адрес регистрации: г. Москва, ул. Тестовая, д. 1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 xml:space="preserve">Телефон: +7 (999) 123-45-67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>Транспортное средство: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 xml:space="preserve">Тягач: Foton Auman гос. номер: O844XY196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 xml:space="preserve">Тип ТС: 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 xml:space="preserve">Прицеп: YANGMINDA гос. номер: 71ABF18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spacing w:before="12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>4. СТОИМОСТЬ И ПОРЯДОК ОПЛАТЫ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 xml:space="preserve">Стоимость перевозки составляет: 219 966,00 руб. (Двести девятнадцать тысяч девятьсот шестьдесят шесть рублей 00 копеек), включая НДС 22%.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Порядок оплаты: в течение 3 (трех) банковских дней после получения Заказчиком оригиналов товарных накладных (ТН) и актов приема-передачи.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spacing w:before="12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>5. ОСОБЫЕ УСЛОВИЯ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Страхование груза осуществляется Экспедитором на полную стоимость, указанную в п.1.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При приемке и сдаче груза составляются Акты приема-передачи с фотофиксацией.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Перевозка осуществляется специализированным автовозом, пригодным для перевозки электромобилей.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Водитель имеет все необходимые документы для осуществления международных перевозок.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spacing w:before="12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>6. ОТВЕТСТВЕННОСТЬ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За нарушение сроков доставки Экспедитор уплачивает пеню 0,5% от стоимости перевозки за каждый день просрочки, но не более 10% от стоимости перевозки.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За срыв погрузки по вине Экспедитора – штраф 20% от стоимости перевозки.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За задержку погрузки/выгрузки по вине Заказчика – пеня 5000 рублей за каждые сутки.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Ответственность Экспедитора ограничивается стоимостью перевозки, за исключением случаев утраты груза.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В остальном Стороны руководствуются условиями Генерального договора.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spacing w:before="12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>7. ПРОЧИЕ УСЛОВИЯ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Настоящий Договор-заявка является неотъемлемой частью Генерального договора.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Договор-заявка вступает в силу с момента подписания и действует до полного исполнения обязательств.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  <w:t>Изменения возможны только по письменному соглашению Сторон.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 w:val="0"/>
          <w:sz w:val="22"/>
          <w:u w:val="none"/>
        </w:rPr>
      </w:r>
    </w:p>
    <w:p>
      <w:pPr>
        <w:spacing w:before="120" w:after="0"/>
      </w:pPr>
      <w:r>
        <w:rPr>
          <w:rFonts w:ascii="Times New Roman" w:hAnsi="Times New Roman" w:cs="Times New Roman" w:eastAsia="Times New Roman"/>
          <w:b/>
          <w:sz w:val="22"/>
          <w:u w:val="none"/>
        </w:rPr>
        <w:t>8. ПОДПИСИ СТОРОН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/>
              <w:jc w:val="both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Заказчик: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ООО «Формика»</w:t>
            </w:r>
          </w:p>
          <w:p>
            <w:pPr>
              <w:spacing w:after="0"/>
            </w:pPr>
          </w:p>
          <w:p>
            <w:pPr>
              <w:spacing w:after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Генеральный директор: ___________________ А.В. Калашников</w:t>
            </w:r>
          </w:p>
        </w:tc>
        <w:tc>
          <w:tcPr>
            <w:tcW w:type="dxa" w:w="4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/>
              <w:jc w:val="both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Экспедитор: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  <w:u w:val="none"/>
              </w:rPr>
              <w:t>ООО «ТЕХНОЛОГИСТИКА»</w:t>
            </w:r>
          </w:p>
          <w:p>
            <w:pPr>
              <w:spacing w:after="0"/>
            </w:pPr>
          </w:p>
          <w:p>
            <w:pPr>
              <w:spacing w:after="0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sz w:val="22"/>
                <w:u w:val="none"/>
              </w:rPr>
              <w:t>Генеральный директор: ______________________ Т.А. Ахмедов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