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ИНН {{client_inn}}, {{client_ogrn_label}} {{client_ogrn}}, {{client_acting}} на основании свидетельства о государственной регистрации, {{client_pronoun}} в дальнейшем «Заказчик».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{{client_legal_form_prefix}}{{client_full_name}}{{client_name_in_parens}}, ИНН {{client_inn}}, {% if has_client_kpp %}КПП {{client_kpp}}, {% endif %}{{client_ogrn_label}} {{client_ogrn}}, именуемое в дальнейшем «Заказчик», в лице {{client_director_position_genitive}} {{client_director_genitive}}, {{client_acting_genitive}} на основании {{client_basis}}.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{{carrier_legal_form_prefix}}{{carrier_full_name}}{{carrier_name_in_parens}}, ИНН {{carrier_inn}}, {% if has_carrier_kpp %}КПП {{carrier_kpp}}, {% endif %}{{carrier_ogrn_label}} {{carrier_ogrn}}, в лице {{carrier_director_position_genitive}} {{carrier_director_genitive}}, {{carrier_acting_genitive}} на основании {{carrier_basis}}, именуемое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6B21CA04" w:rsidR="00F909B9" w:rsidRPr="00B17C99" w:rsidRDefault="00743581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34BC044D" w:rsidR="000C77A2" w:rsidRDefault="00743581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}}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. ({{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sum_total_words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}}).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has_carrier_actual_address %}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{{carrier_actual_address}}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</cp:coreProperties>
</file>