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</w:pPr>
      <w:r>
        <w:rPr>
          <w:rFonts w:ascii="Arial" w:hAnsi="Arial" w:cs="Arial" w:eastAsia="Arial"/>
          <w:b/>
          <w:sz w:val="24"/>
          <w:u w:val="none"/>
        </w:rPr>
        <w:t>Приложение № 1</w:t>
      </w:r>
    </w:p>
    <w:p>
      <w:pPr>
        <w:spacing w:before="0" w:after="0"/>
      </w:pPr>
      <w:r>
        <w:rPr>
          <w:rFonts w:ascii="Arial" w:hAnsi="Arial" w:cs="Arial" w:eastAsia="Arial"/>
          <w:b w:val="0"/>
          <w:sz w:val="24"/>
          <w:u w:val="none"/>
        </w:rPr>
        <w:t>к Генеральному договору транспортной экспедиции №ТЭ0909/01</w:t>
        <w:br/>
      </w:r>
      <w:r>
        <w:rPr>
          <w:rFonts w:ascii="Arial" w:hAnsi="Arial" w:cs="Arial" w:eastAsia="Arial"/>
          <w:b w:val="0"/>
          <w:sz w:val="24"/>
          <w:u w:val="none"/>
        </w:rPr>
        <w:t>от «09» сентября 2026 г.</w:t>
      </w:r>
    </w:p>
    <w:p>
      <w:pPr>
        <w:spacing w:before="120" w:after="0"/>
        <w:jc w:val="center"/>
      </w:pPr>
      <w:r>
        <w:rPr>
          <w:rFonts w:ascii="Arial" w:hAnsi="Arial" w:cs="Arial" w:eastAsia="Arial"/>
          <w:b/>
          <w:sz w:val="24"/>
          <w:u w:val="none"/>
        </w:rPr>
        <w:t xml:space="preserve">ЗАЯВКА № </w:t>
      </w:r>
      <w:r>
        <w:rPr>
          <w:rFonts w:ascii="Arial" w:hAnsi="Arial" w:cs="Arial" w:eastAsia="Arial"/>
          <w:b/>
          <w:sz w:val="24"/>
          <w:u w:val="none"/>
        </w:rPr>
        <w:t>{{contract_number}}</w:t>
      </w:r>
    </w:p>
    <w:p>
      <w:pPr>
        <w:spacing w:before="0" w:after="0"/>
        <w:jc w:val="center"/>
      </w:pPr>
      <w:r>
        <w:rPr>
          <w:rFonts w:ascii="Arial" w:hAnsi="Arial" w:cs="Arial" w:eastAsia="Arial"/>
          <w:b/>
          <w:sz w:val="24"/>
          <w:u w:val="none"/>
        </w:rPr>
        <w:t>на организацию перевозки транспортных средств</w:t>
      </w:r>
    </w:p>
    <w:p>
      <w:pPr>
        <w:spacing w:before="120" w:after="120"/>
      </w:pPr>
      <w:r>
        <w:rPr>
          <w:rFonts w:ascii="Arial" w:hAnsi="Arial" w:cs="Arial" w:eastAsia="Arial"/>
          <w:b w:val="0"/>
          <w:sz w:val="24"/>
          <w:u w:val="none"/>
        </w:rPr>
        <w:t>Дата Заявки: «</w:t>
      </w:r>
      <w:r>
        <w:rPr>
          <w:rFonts w:ascii="Arial" w:hAnsi="Arial" w:cs="Arial" w:eastAsia="Arial"/>
          <w:b w:val="0"/>
          <w:sz w:val="24"/>
          <w:u w:val="none"/>
        </w:rPr>
        <w:t>{{contract_date_day}}</w:t>
      </w:r>
      <w:r>
        <w:rPr>
          <w:rFonts w:ascii="Arial" w:hAnsi="Arial" w:cs="Arial" w:eastAsia="Arial"/>
          <w:b w:val="0"/>
          <w:sz w:val="24"/>
          <w:u w:val="none"/>
        </w:rPr>
        <w:t xml:space="preserve">» </w:t>
      </w:r>
      <w:r>
        <w:rPr>
          <w:rFonts w:ascii="Arial" w:hAnsi="Arial" w:cs="Arial" w:eastAsia="Arial"/>
          <w:b w:val="0"/>
          <w:sz w:val="24"/>
          <w:u w:val="none"/>
        </w:rPr>
        <w:t>{{contract_date_month}}</w:t>
      </w:r>
      <w:r>
        <w:rPr>
          <w:rFonts w:ascii="Arial" w:hAnsi="Arial" w:cs="Arial" w:eastAsia="Arial"/>
          <w:b w:val="0"/>
          <w:sz w:val="24"/>
          <w:u w:val="none"/>
        </w:rPr>
        <w:t xml:space="preserve"> </w:t>
      </w:r>
      <w:r>
        <w:rPr>
          <w:rFonts w:ascii="Arial" w:hAnsi="Arial" w:cs="Arial" w:eastAsia="Arial"/>
          <w:b w:val="0"/>
          <w:sz w:val="24"/>
          <w:u w:val="none"/>
        </w:rPr>
        <w:t>{{contract_date_year}}</w:t>
      </w:r>
      <w:r>
        <w:rPr>
          <w:rFonts w:ascii="Arial" w:hAnsi="Arial" w:cs="Arial" w:eastAsia="Arial"/>
          <w:b w:val="0"/>
          <w:sz w:val="24"/>
          <w:u w:val="none"/>
        </w:rPr>
        <w:t xml:space="preserve"> года.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Заказчик:</w:t>
      </w:r>
      <w:r>
        <w:rPr>
          <w:rFonts w:ascii="Arial" w:hAnsi="Arial" w:cs="Arial" w:eastAsia="Arial"/>
          <w:b w:val="0"/>
          <w:sz w:val="24"/>
          <w:u w:val="none"/>
        </w:rPr>
        <w:t xml:space="preserve"> {{customer_name}}</w:t>
        <w:br/>
      </w:r>
      <w:r>
        <w:rPr>
          <w:rFonts w:ascii="Arial" w:hAnsi="Arial" w:cs="Arial" w:eastAsia="Arial"/>
          <w:b/>
          <w:sz w:val="24"/>
          <w:u w:val="none"/>
        </w:rPr>
        <w:t>Экспедитор:</w:t>
      </w:r>
      <w:r>
        <w:rPr>
          <w:rFonts w:ascii="Arial" w:hAnsi="Arial" w:cs="Arial" w:eastAsia="Arial"/>
          <w:b w:val="0"/>
          <w:sz w:val="24"/>
          <w:u w:val="none"/>
        </w:rPr>
        <w:t xml:space="preserve"> ООО «ТЕХНОЛОГИСТИКА»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1. ПОГРУЗКА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{{shipper_1_name}}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{{shipper_1_address}}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{{shipper_2_name}}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{{shipper_2_address}}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{{shipper_3_name}}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{{shipper_3_address}}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{{shipper_4_name}}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{{shipper_4_address}}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{{shipper_5_name}}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{{shipper_5_address}}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{{shipper_6_name}}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{{shipper_6_address}}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{{shipper_7_name}}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{{shipper_7_address}}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{{shipper_8_name}}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{{shipper_8_address}}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{{shipper_9_name}}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{{shipper_9_address}}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Грузоотправитель: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{{shipper_10_name}}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{{shipper_10_address}}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Дата / время погрузки: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{{loading_date}} г. Время с {{loading_time_from}} по {{loading_time_to}}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2. ВЫГРУЗКА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№1: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{{consignee_1_name}}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{{consignee_1_address}}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№2: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{{consignee_2_name}}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{{consignee_2_address}}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№3: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{{consignee_3_name}}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{{consignee_3_address}}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№4: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{{consignee_4_name}}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{{consignee_4_address}}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№5: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{{consignee_5_name}}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{{consignee_5_address}}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№6: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{{consignee_6_name}}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{{consignee_6_address}}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№7: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{{consignee_7_name}}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{{consignee_7_address}}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№8: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{{consignee_8_name}}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{{consignee_8_address}}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№9: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{{consignee_9_name}}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{{consignee_9_address}}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Грузополучатель №10: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{{consignee_10_name}}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Адрес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{{consignee_10_address}}</w:t>
      </w:r>
    </w:p>
    <w:p>
      <w:pPr>
        <w:spacing w:before="0" w:after="120"/>
      </w:pPr>
      <w:r>
        <w:rPr>
          <w:rFonts w:ascii="Arial" w:hAnsi="Arial" w:cs="Arial" w:eastAsia="Arial"/>
          <w:b/>
          <w:sz w:val="24"/>
          <w:u w:val="none"/>
        </w:rPr>
        <w:t>Плановая дата / время завершения выгрузки:</w:t>
      </w:r>
      <w:r>
        <w:rPr>
          <w:rFonts w:ascii="Arial" w:hAnsi="Arial" w:cs="Arial" w:eastAsia="Arial"/>
          <w:b w:val="0"/>
          <w:sz w:val="24"/>
          <w:u w:val="none"/>
        </w:rPr>
        <w:t xml:space="preserve"> {{unloading_date}} г. Время с {{unloading_time_from}} по {{unloading_time_to}}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3. ПЕРЕВОЗИМЫЕ АВТОМОБИЛИ</w:t>
      </w:r>
    </w:p>
    <w:tbl>
      <w:tblPr>
        <w:tblStyle w:val="TableGrid"/>
        <w:tblW w:type="dxa" w:w="10023"/>
        <w:tblLayout w:type="fixed"/>
        <w:tblLook w:firstColumn="1" w:firstRow="1" w:lastColumn="0" w:lastRow="0" w:noHBand="0" w:noVBand="1" w:val="04A0"/>
      </w:tblPr>
      <w:tblGrid>
        <w:gridCol w:w="1000"/>
        <w:gridCol w:w="5091"/>
        <w:gridCol w:w="3932"/>
      </w:tblGrid>
      <w:tr>
        <w:trPr>
          <w:tblHeader w:val="true"/>
        </w:trPr>
        <w:tc>
          <w:tcPr>
            <w:tcW w:type="dxa" w:w="1000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u w:val="none"/>
              </w:rPr>
              <w:t>№</w:t>
            </w:r>
          </w:p>
        </w:tc>
        <w:tc>
          <w:tcPr>
            <w:tcW w:type="dxa" w:w="5091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u w:val="none"/>
              </w:rPr>
              <w:t>Марка, модель</w:t>
            </w:r>
          </w:p>
        </w:tc>
        <w:tc>
          <w:tcPr>
            <w:tcW w:type="dxa" w:w="393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u w:val="none"/>
              </w:rPr>
              <w:t>VIN-номер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1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2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{{car_2_brand}}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{{car_2_vin}}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3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{{car_3_brand}}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{{car_3_vin}}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4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{{car_4_brand}}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{{car_4_vin}}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5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{{car_5_brand}}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{{car_5_vin}}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6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{{car_6_brand}}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{{car_6_vin}}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7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{{car_7_brand}}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{{car_7_vin}}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8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{{car_8_brand}}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{{car_8_vin}}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9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{{car_9_brand}}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{{car_9_vin}}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10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{{car_10_brand}}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{{car_10_vin}}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11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{{car_11_brand}}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{{car_11_vin}}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12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{{car_12_brand}}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24"/>
                <w:u w:val="none"/>
              </w:rPr>
              <w:t>{{car_12_vin}}</w:t>
            </w:r>
          </w:p>
        </w:tc>
      </w:tr>
    </w:tbl>
    <w:p>
      <w:pPr>
        <w:spacing w:before="120" w:after="120"/>
      </w:pPr>
      <w:r>
        <w:rPr>
          <w:rFonts w:ascii="Arial" w:hAnsi="Arial" w:cs="Arial" w:eastAsia="Arial"/>
          <w:b/>
          <w:sz w:val="24"/>
          <w:u w:val="none"/>
        </w:rPr>
        <w:t>Общее количество:</w:t>
      </w:r>
      <w:r>
        <w:rPr>
          <w:rFonts w:ascii="Arial" w:hAnsi="Arial" w:cs="Arial" w:eastAsia="Arial"/>
          <w:b w:val="0"/>
          <w:sz w:val="24"/>
          <w:u w:val="none"/>
        </w:rPr>
        <w:t xml:space="preserve"> {{cargo_count}} шт.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4. АВТОВОЗ И ВОДИТЕЛЬ</w:t>
      </w:r>
    </w:p>
    <w:p>
      <w:pPr>
        <w:spacing w:before="0" w:after="120"/>
        <w:jc w:val="both"/>
      </w:pPr>
      <w:r>
        <w:rPr>
          <w:rFonts w:ascii="Arial" w:hAnsi="Arial" w:cs="Arial" w:eastAsia="Arial"/>
          <w:b/>
          <w:sz w:val="24"/>
          <w:u w:val="none"/>
        </w:rPr>
        <w:t>Тягач:</w:t>
      </w:r>
      <w:r>
        <w:rPr>
          <w:rFonts w:ascii="Arial" w:hAnsi="Arial" w:cs="Arial" w:eastAsia="Arial"/>
          <w:b w:val="0"/>
          <w:sz w:val="24"/>
          <w:u w:val="none"/>
        </w:rPr>
        <w:t xml:space="preserve"> {{tractor_brand}} </w:t>
      </w:r>
      <w:r>
        <w:rPr>
          <w:rFonts w:ascii="Arial" w:hAnsi="Arial" w:cs="Arial" w:eastAsia="Arial"/>
          <w:b/>
          <w:sz w:val="24"/>
          <w:u w:val="none"/>
        </w:rPr>
        <w:t>гос. №:</w:t>
      </w:r>
      <w:r>
        <w:rPr>
          <w:rFonts w:ascii="Arial" w:hAnsi="Arial" w:cs="Arial" w:eastAsia="Arial"/>
          <w:b w:val="0"/>
          <w:sz w:val="24"/>
          <w:u w:val="none"/>
        </w:rPr>
        <w:t xml:space="preserve"> {{tractor_plate}}</w:t>
      </w:r>
    </w:p>
    <w:p>
      <w:pPr>
        <w:spacing w:before="0" w:after="120"/>
        <w:jc w:val="both"/>
      </w:pPr>
      <w:r>
        <w:rPr>
          <w:rFonts w:ascii="Arial" w:hAnsi="Arial" w:cs="Arial" w:eastAsia="Arial"/>
          <w:b/>
          <w:sz w:val="24"/>
          <w:u w:val="none"/>
        </w:rPr>
        <w:t>Прицеп:</w:t>
      </w:r>
      <w:r>
        <w:rPr>
          <w:rFonts w:ascii="Arial" w:hAnsi="Arial" w:cs="Arial" w:eastAsia="Arial"/>
          <w:b w:val="0"/>
          <w:sz w:val="24"/>
          <w:u w:val="none"/>
        </w:rPr>
        <w:t xml:space="preserve"> {{trailer_brand}} </w:t>
      </w:r>
      <w:r>
        <w:rPr>
          <w:rFonts w:ascii="Arial" w:hAnsi="Arial" w:cs="Arial" w:eastAsia="Arial"/>
          <w:b/>
          <w:sz w:val="24"/>
          <w:u w:val="none"/>
        </w:rPr>
        <w:t>гос. №:</w:t>
      </w:r>
      <w:r>
        <w:rPr>
          <w:rFonts w:ascii="Arial" w:hAnsi="Arial" w:cs="Arial" w:eastAsia="Arial"/>
          <w:b w:val="0"/>
          <w:sz w:val="24"/>
          <w:u w:val="none"/>
        </w:rPr>
        <w:t xml:space="preserve"> {{trailer_plate}}</w:t>
      </w:r>
    </w:p>
    <w:p>
      <w:pPr>
        <w:spacing w:before="0" w:after="120"/>
        <w:jc w:val="both"/>
      </w:pPr>
      <w:r>
        <w:rPr>
          <w:rFonts w:ascii="Arial" w:hAnsi="Arial" w:cs="Arial" w:eastAsia="Arial"/>
          <w:b/>
          <w:sz w:val="24"/>
          <w:u w:val="none"/>
        </w:rPr>
        <w:t>Водитель:</w:t>
      </w:r>
      <w:r>
        <w:rPr>
          <w:rFonts w:ascii="Arial" w:hAnsi="Arial" w:cs="Arial" w:eastAsia="Arial"/>
          <w:b w:val="0"/>
          <w:sz w:val="24"/>
          <w:u w:val="none"/>
        </w:rPr>
        <w:t xml:space="preserve"> {{driver_name}}</w:t>
      </w:r>
    </w:p>
    <w:p>
      <w:pPr>
        <w:spacing w:before="0" w:after="120"/>
        <w:jc w:val="both"/>
      </w:pPr>
      <w:r>
        <w:rPr>
          <w:rFonts w:ascii="Arial" w:hAnsi="Arial" w:cs="Arial" w:eastAsia="Arial"/>
          <w:b w:val="0"/>
          <w:sz w:val="24"/>
          <w:u w:val="none"/>
        </w:rPr>
        <w:t>Замена водителя, тягача или прицепа допускается в порядке, предусмотренном Генеральным договором.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5. СТОИМОСТЬ</w:t>
      </w:r>
    </w:p>
    <w:p>
      <w:pPr>
        <w:spacing w:before="0" w:after="120"/>
        <w:jc w:val="both"/>
      </w:pPr>
      <w:r>
        <w:rPr>
          <w:rFonts w:ascii="Arial" w:hAnsi="Arial" w:cs="Arial" w:eastAsia="Arial"/>
          <w:b/>
          <w:sz w:val="24"/>
          <w:u w:val="none"/>
        </w:rPr>
        <w:t>Стоимость услуг:</w:t>
      </w:r>
      <w:r>
        <w:rPr>
          <w:rFonts w:ascii="Arial" w:hAnsi="Arial" w:cs="Arial" w:eastAsia="Arial"/>
          <w:b w:val="0"/>
          <w:sz w:val="24"/>
          <w:u w:val="none"/>
        </w:rPr>
        <w:t xml:space="preserve"> {{sum_wo_vat}} руб. ({{sum_wo_vat_words}})</w:t>
      </w:r>
    </w:p>
    <w:p>
      <w:pPr>
        <w:spacing w:before="0" w:after="120"/>
        <w:jc w:val="both"/>
      </w:pPr>
      <w:r>
        <w:rPr>
          <w:rFonts w:ascii="Arial" w:hAnsi="Arial" w:cs="Arial" w:eastAsia="Arial"/>
          <w:b/>
          <w:sz w:val="24"/>
          <w:u w:val="none"/>
        </w:rPr>
        <w:t>НДС {{vat_rate}}:</w:t>
      </w:r>
      <w:r>
        <w:rPr>
          <w:rFonts w:ascii="Arial" w:hAnsi="Arial" w:cs="Arial" w:eastAsia="Arial"/>
          <w:b w:val="0"/>
          <w:sz w:val="24"/>
          <w:u w:val="none"/>
        </w:rPr>
        <w:t xml:space="preserve"> {{sum_vat}} руб. ({{sum_vat_words}})</w:t>
      </w:r>
    </w:p>
    <w:p>
      <w:pPr>
        <w:spacing w:before="0" w:after="120"/>
        <w:jc w:val="both"/>
      </w:pPr>
      <w:r>
        <w:rPr>
          <w:rFonts w:ascii="Arial" w:hAnsi="Arial" w:cs="Arial" w:eastAsia="Arial"/>
          <w:b/>
          <w:sz w:val="24"/>
          <w:u w:val="none"/>
        </w:rPr>
        <w:t>Итого:</w:t>
      </w:r>
      <w:r>
        <w:rPr>
          <w:rFonts w:ascii="Arial" w:hAnsi="Arial" w:cs="Arial" w:eastAsia="Arial"/>
          <w:b w:val="0"/>
          <w:sz w:val="24"/>
          <w:u w:val="none"/>
        </w:rPr>
        <w:t xml:space="preserve"> {{sum_total}} руб. ({{sum_total_words}})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6. ОСОБЫЕ УСЛОВИЯ</w:t>
      </w:r>
    </w:p>
    <w:p>
      <w:pPr>
        <w:spacing w:before="0" w:after="120"/>
      </w:pPr>
      <w:r>
        <w:rPr>
          <w:rFonts w:ascii="Arial" w:hAnsi="Arial" w:cs="Arial" w:eastAsia="Arial"/>
          <w:b w:val="0"/>
          <w:sz w:val="24"/>
          <w:u w:val="none"/>
        </w:rPr>
        <w:t>{{special_conditions}}</w:t>
      </w:r>
    </w:p>
    <w:p>
      <w:pPr>
        <w:spacing w:before="0" w:after="120"/>
        <w:jc w:val="both"/>
      </w:pPr>
      <w:r>
        <w:rPr>
          <w:rFonts w:ascii="Arial" w:hAnsi="Arial" w:cs="Arial" w:eastAsia="Arial"/>
          <w:b w:val="0"/>
          <w:sz w:val="24"/>
          <w:u w:val="none"/>
        </w:rPr>
        <w:t>Все остальные условия оказания услуг, расчетов, документооборота, простоя, приемки и выдачи груза, ответственности Сторон и разрешения споров определяются Генеральным договором транспортной экспедиции № ТЭ 0909/01 от «09» сентября 2026 г.</w:t>
      </w:r>
    </w:p>
    <w:p>
      <w:pPr>
        <w:spacing w:before="0" w:after="120"/>
      </w:pPr>
      <w:r>
        <w:rPr>
          <w:rFonts w:ascii="Arial" w:hAnsi="Arial" w:cs="Arial" w:eastAsia="Arial"/>
          <w:b w:val="0"/>
          <w:sz w:val="24"/>
          <w:u w:val="none"/>
        </w:rPr>
        <w:t>Настоящая Заявка является неотъемлемой частью Генерального договора.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ЗАКАЗЧИК</w:t>
      </w:r>
    </w:p>
    <w:p>
      <w:pPr>
        <w:spacing w:before="0" w:after="120"/>
      </w:pPr>
      <w:r>
        <w:rPr>
          <w:rFonts w:ascii="Arial" w:hAnsi="Arial" w:cs="Arial" w:eastAsia="Arial"/>
          <w:b w:val="0"/>
          <w:sz w:val="24"/>
          <w:u w:val="none"/>
        </w:rPr>
        <w:t>{{customer_name}}</w:t>
      </w:r>
    </w:p>
    <w:p>
      <w:pPr>
        <w:spacing w:before="0" w:after="120"/>
      </w:pPr>
      <w:r>
        <w:rPr>
          <w:rFonts w:ascii="Arial" w:hAnsi="Arial" w:cs="Arial" w:eastAsia="Arial"/>
          <w:b w:val="0"/>
          <w:sz w:val="24"/>
          <w:u w:val="none"/>
        </w:rPr>
        <w:t>________________ / Гао Фанфан /</w:t>
      </w:r>
    </w:p>
    <w:p>
      <w:pPr>
        <w:spacing w:before="240" w:after="120"/>
      </w:pPr>
      <w:r>
        <w:rPr>
          <w:rFonts w:ascii="Arial" w:hAnsi="Arial" w:cs="Arial" w:eastAsia="Arial"/>
          <w:b/>
          <w:sz w:val="24"/>
          <w:u w:val="none"/>
        </w:rPr>
        <w:t>ЭКСПЕДИТОР</w:t>
      </w:r>
    </w:p>
    <w:p>
      <w:pPr>
        <w:spacing w:before="0" w:after="120"/>
      </w:pPr>
      <w:r>
        <w:rPr>
          <w:rFonts w:ascii="Arial" w:hAnsi="Arial" w:cs="Arial" w:eastAsia="Arial"/>
          <w:b w:val="0"/>
          <w:sz w:val="24"/>
          <w:u w:val="none"/>
        </w:rPr>
        <w:t>ООО «ТЕХНОЛОГИСТИКА»</w:t>
      </w:r>
    </w:p>
    <w:p>
      <w:pPr>
        <w:spacing w:before="0" w:after="120"/>
      </w:pPr>
      <w:r>
        <w:rPr>
          <w:rFonts w:ascii="Arial" w:hAnsi="Arial" w:cs="Arial" w:eastAsia="Arial"/>
          <w:b w:val="0"/>
          <w:sz w:val="24"/>
          <w:u w:val="none"/>
        </w:rPr>
        <w:t>________________ / Т.А. Ахмедов /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