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 w:line="240" w:lineRule="auto"/>
        <w:jc w:val="center"/>
      </w:pPr>
      <w:r>
        <w:rPr>
          <w:rFonts w:ascii="Times New Roman" w:hAnsi="Times New Roman" w:cs="Times New Roman" w:eastAsia="Times New Roman"/>
          <w:b/>
          <w:sz w:val="26"/>
          <w:u w:val="none"/>
        </w:rPr>
        <w:t>ДОГОВОР АРЕНДЫ ТРАНСПОРТНОГО СРЕДСТВА</w:t>
        <w:br/>
      </w:r>
      <w:r>
        <w:rPr>
          <w:rFonts w:ascii="Times New Roman" w:hAnsi="Times New Roman" w:cs="Times New Roman" w:eastAsia="Times New Roman"/>
          <w:b/>
          <w:sz w:val="26"/>
          <w:u w:val="none"/>
        </w:rPr>
        <w:t>С ЭКИПАЖЕМ № {{contract_number}}</w:t>
      </w:r>
    </w:p>
    <w:p>
      <w:pPr>
        <w:spacing w:before="0" w:after="140" w:line="240" w:lineRule="auto"/>
        <w:jc w:val="center"/>
      </w:pPr>
      <w:r>
        <w:rPr>
          <w:rFonts w:ascii="Times New Roman" w:hAnsi="Times New Roman" w:cs="Times New Roman" w:eastAsia="Times New Roman"/>
          <w:b/>
          <w:sz w:val="22"/>
          <w:u w:val="none"/>
        </w:rPr>
        <w:t>(на один рейс)</w:t>
      </w:r>
    </w:p>
    <w:tbl>
      <w:tblPr>
        <w:tblW w:type="dxa" w:w="9921"/>
        <w:tblLayout w:type="fixed"/>
        <w:tblLook w:firstColumn="1" w:firstRow="1" w:lastColumn="0" w:lastRow="0" w:noHBand="0" w:noVBand="1" w:val="04A0"/>
      </w:tblPr>
      <w:tblGrid>
        <w:gridCol w:w="4960"/>
        <w:gridCol w:w="4961"/>
      </w:tblGrid>
      <w:tr>
        <w:tc>
          <w:tcPr>
            <w:tcW w:type="dxa" w:w="4960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г. Москва</w:t>
            </w:r>
          </w:p>
        </w:tc>
        <w:tc>
          <w:tcPr>
            <w:tcW w:type="dxa" w:w="4961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{{contract_date}} г.</w:t>
            </w:r>
          </w:p>
        </w:tc>
      </w:tr>
    </w:tbl>
    <w:p>
      <w:pPr>
        <w:spacing w:before="80" w:after="60" w:line="240" w:lineRule="auto"/>
      </w:pPr>
      <w:r>
        <w:rPr>
          <w:rFonts w:ascii="Times New Roman" w:hAnsi="Times New Roman" w:cs="Times New Roman" w:eastAsia="Times New Roman"/>
          <w:b/>
          <w:sz w:val="21"/>
          <w:u w:val="none"/>
        </w:rPr>
        <w:t>1. СТОРОНЫ, ПРАВОВАЯ ПРИРОДА И СТАТУС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 xml:space="preserve">1.1. Арендатор: {{lessee_full_name}} ({{lessee_short_name}}), </w:t>
      </w:r>
      <w:r>
        <w:rPr>
          <w:rFonts w:ascii="Times New Roman" w:hAnsi="Times New Roman" w:cs="Times New Roman" w:eastAsia="Times New Roman"/>
          <w:b w:val="0"/>
          <w:sz w:val="21"/>
          <w:u w:val="none"/>
        </w:rPr>
        <w:t xml:space="preserve">именуемый в дальнейшем «Арендатор», в лице </w:t>
      </w:r>
      <w:r>
        <w:rPr>
          <w:rFonts w:ascii="Times New Roman" w:hAnsi="Times New Roman" w:cs="Times New Roman" w:eastAsia="Times New Roman"/>
          <w:b w:val="0"/>
          <w:sz w:val="21"/>
          <w:u w:val="none"/>
        </w:rPr>
        <w:t>{{lessee_director_position}} {{lessee_director_name}}, действующего на основании {{lessee_basis}}.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1.2. Арендодатель: {{lessor_full_name}} ({{lessor_short_name}}), ИНН {{lessor_inn}}, ОГРН {{lessor_ogrn}}, в лице {{lessor_director_position}} {{lessor_director_name}}, действующего на основании {{lessor_basis}}, именуемое в дальнейшем «Арендодатель».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1.3. Настоящий Договор заключен в соответствии со статьями 632–641 Гражданского кодекса Российской Федерации. Арендодатель предоставляет Арендатору за плату указанное в настоящем Договоре транспортное средство во временное владение и пользование и своими силами оказывает услуги по управлению транспортным средством и его технической эксплуатации.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1.4. Настоящий Договор регулирует отношения аренды транспортного средства с экипажем и не является договором перевозки груза между Арендатором и Арендодателем. Арендодатель не принимает на себя статус перевозчика по отношению к Арендатору. Арендатор осуществляет коммерческую эксплуатацию транспортного средства от своего имени и вправе заключать с третьими лицами договоры перевозки и иные договоры, соответствующие целям использования транспортного средства.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1.5. Упоминание в настоящем Договоре маршрута, автомобилей, мест погрузки/выгрузки и сроков рейса определяет согласованные цели и пределы коммерческого использования арендованного транспортного средства и само по себе не означает принятия Арендодателем обязательства перевозчика по доставке груза.</w:t>
      </w:r>
    </w:p>
    <w:p>
      <w:pPr>
        <w:spacing w:before="80" w:after="60" w:line="240" w:lineRule="auto"/>
      </w:pPr>
      <w:r>
        <w:rPr>
          <w:rFonts w:ascii="Times New Roman" w:hAnsi="Times New Roman" w:cs="Times New Roman" w:eastAsia="Times New Roman"/>
          <w:b/>
          <w:sz w:val="21"/>
          <w:u w:val="none"/>
        </w:rPr>
        <w:t>2. ПРЕДМЕТ ДОГОВОРА И ОБЪЕКТ АРЕНДЫ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2.1. Арендодатель обязуется передать Арендатору на срок одного согласованного рейса во временное владение и пользование автопоезд (далее совместно — «Транспортное средство» или «ТС») и предоставить экипаж для управления и технической эксплуатации: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– тягач: {{tractor_brand}}, государственный регистрационный знак {{tractor_plate}}, тип ТС — {{tractor_type}};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– прицеп/полуприцеп: {{trailer_brand}}, государственный регистрационный знак {{trailer_plate}}.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2.2. Идентифицирующие сведения из свидетельств о регистрации ТС, включая VIN/номер шасси при наличии, подтверждаются копиями регистрационных документов, передаваемыми Арендатору до начала рейса. Такие копии являются неотъемлемой частью подтверждения объекта аренды.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2.3. Цель аренды — коммерческое использование ТС Арендатором для выполнения одного согласованного рейса по маршруту, указанному в п. 3.4 настоящего Договора, с возможностью погрузки и выгрузки автомобилей в нескольких согласованных точках. Перечень автомобилей и распределение каждого автомобиля по точке погрузки и точке выгрузки определяются п. 3.1 настоящего Договора.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2.4. Срок аренды начинается с момента фактического предоставления ТС Арендатору в первой согласованной точке коммерческого использования и передачи ТС во временное владение и пользование, что подтверждается Актом приема-передачи, а при его отсутствии — совокупностью документов и электронных сообщений, достоверно подтверждающих фактическое предоставление ТС. Срок аренды заканчивается после завершения коммерческого использования в последней согласованной точке выгрузки и возврата ТС Арендодателю, подтвержденного Актом возврата.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2.5. Плановый период аренды: с {{lease_start_date}} г. по {{lease_end_date}} г. включительно. Если фактический рейс по причинам, не зависящим от Арендатора, завершается позднее, Договор продолжает действовать до фактического возврата ТС; арендная плата при этом не увеличивается, если иное письменно не согласовано Сторонами.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2.6. Арендодатель гарантирует, что является собственником ТС либо обладает иным законным правом, позволяющим передать ТС в аренду с экипажем, и что передача ТС Арендатору не нарушает прав третьих лиц. По требованию Арендатора Арендодатель предоставляет документы, подтверждающие соответствующее право.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2.7. Замена тягача, прицепа/полуприцепа или члена экипажа допускается только с предварительного письменного согласия Арендатора, кроме аварийной ситуации, когда немедленная замена необходима для безопасности. В таком случае Арендодатель обязан незамедлительно уведомить Арендатора и предоставить эквивалентное по назначению и техническим характеристикам ТС.</w:t>
      </w:r>
    </w:p>
    <w:p>
      <w:pPr>
        <w:spacing w:before="80" w:after="60" w:line="240" w:lineRule="auto"/>
      </w:pPr>
      <w:r>
        <w:rPr>
          <w:rFonts w:ascii="Times New Roman" w:hAnsi="Times New Roman" w:cs="Times New Roman" w:eastAsia="Times New Roman"/>
          <w:b/>
          <w:sz w:val="21"/>
          <w:u w:val="none"/>
        </w:rPr>
        <w:t>3. УСЛОВИЯ КОММЕРЧЕСКОГО ИСПОЛЬЗОВАНИЯ НА РЕЙС</w:t>
      </w:r>
    </w:p>
    <w:p>
      <w:pPr>
        <w:spacing w:before="0" w:after="60" w:line="240" w:lineRule="auto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3.1. Автомобили, размещаемые Арендатором на ТС в рамках коммерческой эксплуатации:</w:t>
      </w:r>
    </w:p>
    <w:tbl>
      <w:tblPr>
        <w:tblStyle w:val="TableGrid"/>
        <w:tblW w:type="dxa" w:w="8731"/>
        <w:tblLayout w:type="fixed"/>
        <w:tblLook w:firstColumn="1" w:firstRow="1" w:lastColumn="0" w:lastRow="0" w:noHBand="0" w:noVBand="1" w:val="04A0"/>
      </w:tblPr>
      <w:tblGrid>
        <w:gridCol w:w="453"/>
        <w:gridCol w:w="1360"/>
        <w:gridCol w:w="2382"/>
        <w:gridCol w:w="1984"/>
        <w:gridCol w:w="2552"/>
      </w:tblGrid>
      <w:tr>
        <w:trPr>
          <w:tblHeader w:val="true"/>
        </w:trPr>
        <w:tc>
          <w:tcPr>
            <w:tcW w:type="dxa" w:w="453"/>
            <w:shd w:val="clear" w:color="auto" w:fill="E5E5E5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sz w:val="21"/>
                <w:u w:val="none"/>
              </w:rPr>
              <w:t>№</w:t>
            </w:r>
          </w:p>
        </w:tc>
        <w:tc>
          <w:tcPr>
            <w:tcW w:type="dxa" w:w="1360"/>
            <w:shd w:val="clear" w:color="auto" w:fill="E5E5E5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sz w:val="21"/>
                <w:u w:val="none"/>
              </w:rPr>
              <w:t>Марка, модель</w:t>
            </w:r>
          </w:p>
        </w:tc>
        <w:tc>
          <w:tcPr>
            <w:tcW w:type="dxa" w:w="2382"/>
            <w:shd w:val="clear" w:color="auto" w:fill="E5E5E5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sz w:val="21"/>
                <w:u w:val="none"/>
              </w:rPr>
              <w:t>VIN-номер</w:t>
            </w:r>
          </w:p>
        </w:tc>
        <w:tc>
          <w:tcPr>
            <w:tcW w:type="dxa" w:w="1984"/>
            <w:shd w:val="clear" w:color="auto" w:fill="E5E5E5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sz w:val="21"/>
                <w:u w:val="none"/>
              </w:rPr>
              <w:t>Точка погрузки</w:t>
            </w:r>
          </w:p>
        </w:tc>
        <w:tc>
          <w:tcPr>
            <w:tcW w:type="dxa" w:w="2552"/>
            <w:shd w:val="clear" w:color="auto" w:fill="E5E5E5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sz w:val="21"/>
                <w:u w:val="none"/>
              </w:rPr>
              <w:t>Точка выгрузки</w:t>
            </w:r>
          </w:p>
        </w:tc>
      </w:tr>
      <w:tr>
        <w:tc>
          <w:tcPr>
            <w:tcW w:type="dxa" w:w="453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1</w:t>
            </w:r>
          </w:p>
        </w:tc>
        <w:tc>
          <w:tcPr>
            <w:tcW w:type="dxa" w:w="1360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{{car_1_brand}}</w:t>
            </w:r>
          </w:p>
        </w:tc>
        <w:tc>
          <w:tcPr>
            <w:tcW w:type="dxa" w:w="2382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{{car_1_vin}}</w:t>
            </w:r>
          </w:p>
        </w:tc>
        <w:tc>
          <w:tcPr>
            <w:tcW w:type="dxa" w:w="1984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{{car_1_loading_point}}</w:t>
            </w:r>
          </w:p>
        </w:tc>
        <w:tc>
          <w:tcPr>
            <w:tcW w:type="dxa" w:w="2552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{{car_1_unloading_point}}</w:t>
            </w:r>
          </w:p>
        </w:tc>
      </w:tr>
      <w:tr>
        <w:tc>
          <w:tcPr>
            <w:tcW w:type="dxa" w:w="453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2</w:t>
            </w:r>
          </w:p>
        </w:tc>
        <w:tc>
          <w:tcPr>
            <w:tcW w:type="dxa" w:w="1360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{{car_2_brand}}</w:t>
            </w:r>
          </w:p>
        </w:tc>
        <w:tc>
          <w:tcPr>
            <w:tcW w:type="dxa" w:w="2382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{{car_2_vin}}</w:t>
            </w:r>
          </w:p>
        </w:tc>
        <w:tc>
          <w:tcPr>
            <w:tcW w:type="dxa" w:w="1984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{{car_2_loading_point}}</w:t>
            </w:r>
          </w:p>
        </w:tc>
        <w:tc>
          <w:tcPr>
            <w:tcW w:type="dxa" w:w="2552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{{car_2_unloading_point}}</w:t>
            </w:r>
          </w:p>
        </w:tc>
      </w:tr>
      <w:tr>
        <w:tc>
          <w:tcPr>
            <w:tcW w:type="dxa" w:w="453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3</w:t>
            </w:r>
          </w:p>
        </w:tc>
        <w:tc>
          <w:tcPr>
            <w:tcW w:type="dxa" w:w="1360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{{car_3_brand}}</w:t>
            </w:r>
          </w:p>
        </w:tc>
        <w:tc>
          <w:tcPr>
            <w:tcW w:type="dxa" w:w="2382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{{car_3_vin}}</w:t>
            </w:r>
          </w:p>
        </w:tc>
        <w:tc>
          <w:tcPr>
            <w:tcW w:type="dxa" w:w="1984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{{car_3_loading_point}}</w:t>
            </w:r>
          </w:p>
        </w:tc>
        <w:tc>
          <w:tcPr>
            <w:tcW w:type="dxa" w:w="2552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{{car_3_unloading_point}}</w:t>
            </w:r>
          </w:p>
        </w:tc>
      </w:tr>
      <w:tr>
        <w:tc>
          <w:tcPr>
            <w:tcW w:type="dxa" w:w="453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4</w:t>
            </w:r>
          </w:p>
        </w:tc>
        <w:tc>
          <w:tcPr>
            <w:tcW w:type="dxa" w:w="1360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{{car_4_brand}}</w:t>
            </w:r>
          </w:p>
        </w:tc>
        <w:tc>
          <w:tcPr>
            <w:tcW w:type="dxa" w:w="2382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{{car_4_vin}}</w:t>
            </w:r>
          </w:p>
        </w:tc>
        <w:tc>
          <w:tcPr>
            <w:tcW w:type="dxa" w:w="1984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{{car_4_loading_point}}</w:t>
            </w:r>
          </w:p>
        </w:tc>
        <w:tc>
          <w:tcPr>
            <w:tcW w:type="dxa" w:w="2552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{{car_4_unloading_point}}</w:t>
            </w:r>
          </w:p>
        </w:tc>
      </w:tr>
      <w:tr>
        <w:tc>
          <w:tcPr>
            <w:tcW w:type="dxa" w:w="453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5</w:t>
            </w:r>
          </w:p>
        </w:tc>
        <w:tc>
          <w:tcPr>
            <w:tcW w:type="dxa" w:w="1360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{{car_5_brand}}</w:t>
            </w:r>
          </w:p>
        </w:tc>
        <w:tc>
          <w:tcPr>
            <w:tcW w:type="dxa" w:w="2382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{{car_5_vin}}</w:t>
            </w:r>
          </w:p>
        </w:tc>
        <w:tc>
          <w:tcPr>
            <w:tcW w:type="dxa" w:w="1984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{{car_5_loading_point}}</w:t>
            </w:r>
          </w:p>
        </w:tc>
        <w:tc>
          <w:tcPr>
            <w:tcW w:type="dxa" w:w="2552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{{car_5_unloading_point}}</w:t>
            </w:r>
          </w:p>
        </w:tc>
      </w:tr>
      <w:tr>
        <w:tc>
          <w:tcPr>
            <w:tcW w:type="dxa" w:w="453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6</w:t>
            </w:r>
          </w:p>
        </w:tc>
        <w:tc>
          <w:tcPr>
            <w:tcW w:type="dxa" w:w="1360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{{car_6_brand}}</w:t>
            </w:r>
          </w:p>
        </w:tc>
        <w:tc>
          <w:tcPr>
            <w:tcW w:type="dxa" w:w="2382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{{car_6_vin}}</w:t>
            </w:r>
          </w:p>
        </w:tc>
        <w:tc>
          <w:tcPr>
            <w:tcW w:type="dxa" w:w="1984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{{car_6_loading_point}}</w:t>
            </w:r>
          </w:p>
        </w:tc>
        <w:tc>
          <w:tcPr>
            <w:tcW w:type="dxa" w:w="2552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{{car_6_unloading_point}}</w:t>
            </w:r>
          </w:p>
        </w:tc>
      </w:tr>
      <w:tr>
        <w:tc>
          <w:tcPr>
            <w:tcW w:type="dxa" w:w="453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7</w:t>
            </w:r>
          </w:p>
        </w:tc>
        <w:tc>
          <w:tcPr>
            <w:tcW w:type="dxa" w:w="1360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{{car_7_brand}}</w:t>
            </w:r>
          </w:p>
        </w:tc>
        <w:tc>
          <w:tcPr>
            <w:tcW w:type="dxa" w:w="2382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{{car_7_vin}}</w:t>
            </w:r>
          </w:p>
        </w:tc>
        <w:tc>
          <w:tcPr>
            <w:tcW w:type="dxa" w:w="1984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{{car_7_loading_point}}</w:t>
            </w:r>
          </w:p>
        </w:tc>
        <w:tc>
          <w:tcPr>
            <w:tcW w:type="dxa" w:w="2552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{{car_7_unloading_point}}</w:t>
            </w:r>
          </w:p>
        </w:tc>
      </w:tr>
      <w:tr>
        <w:tc>
          <w:tcPr>
            <w:tcW w:type="dxa" w:w="453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8</w:t>
            </w:r>
          </w:p>
        </w:tc>
        <w:tc>
          <w:tcPr>
            <w:tcW w:type="dxa" w:w="1360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{{car_8_brand}}</w:t>
            </w:r>
          </w:p>
        </w:tc>
        <w:tc>
          <w:tcPr>
            <w:tcW w:type="dxa" w:w="2382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{{car_8_vin}}</w:t>
            </w:r>
          </w:p>
        </w:tc>
        <w:tc>
          <w:tcPr>
            <w:tcW w:type="dxa" w:w="1984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{{car_8_loading_point}}</w:t>
            </w:r>
          </w:p>
        </w:tc>
        <w:tc>
          <w:tcPr>
            <w:tcW w:type="dxa" w:w="2552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{{car_8_unloading_point}}</w:t>
            </w:r>
          </w:p>
        </w:tc>
      </w:tr>
      <w:tr>
        <w:tc>
          <w:tcPr>
            <w:tcW w:type="dxa" w:w="453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9</w:t>
            </w:r>
          </w:p>
        </w:tc>
        <w:tc>
          <w:tcPr>
            <w:tcW w:type="dxa" w:w="1360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{{car_9_brand}}</w:t>
            </w:r>
          </w:p>
        </w:tc>
        <w:tc>
          <w:tcPr>
            <w:tcW w:type="dxa" w:w="2382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{{car_9_vin}}</w:t>
            </w:r>
          </w:p>
        </w:tc>
        <w:tc>
          <w:tcPr>
            <w:tcW w:type="dxa" w:w="1984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{{car_9_loading_point}}</w:t>
            </w:r>
          </w:p>
        </w:tc>
        <w:tc>
          <w:tcPr>
            <w:tcW w:type="dxa" w:w="2552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{{car_9_unloading_point}}</w:t>
            </w:r>
          </w:p>
        </w:tc>
      </w:tr>
      <w:tr>
        <w:tc>
          <w:tcPr>
            <w:tcW w:type="dxa" w:w="453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10</w:t>
            </w:r>
          </w:p>
        </w:tc>
        <w:tc>
          <w:tcPr>
            <w:tcW w:type="dxa" w:w="1360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{{car_10_brand}}</w:t>
            </w:r>
          </w:p>
        </w:tc>
        <w:tc>
          <w:tcPr>
            <w:tcW w:type="dxa" w:w="2382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{{car_10_vin}}</w:t>
            </w:r>
          </w:p>
        </w:tc>
        <w:tc>
          <w:tcPr>
            <w:tcW w:type="dxa" w:w="1984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{{car_10_loading_point}}</w:t>
            </w:r>
          </w:p>
        </w:tc>
        <w:tc>
          <w:tcPr>
            <w:tcW w:type="dxa" w:w="2552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{{car_10_unloading_point}}</w:t>
            </w:r>
          </w:p>
        </w:tc>
      </w:tr>
      <w:tr>
        <w:tc>
          <w:tcPr>
            <w:tcW w:type="dxa" w:w="453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11</w:t>
            </w:r>
          </w:p>
        </w:tc>
        <w:tc>
          <w:tcPr>
            <w:tcW w:type="dxa" w:w="1360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{{car_11_brand}}</w:t>
            </w:r>
          </w:p>
        </w:tc>
        <w:tc>
          <w:tcPr>
            <w:tcW w:type="dxa" w:w="2382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{{car_11_vin}}</w:t>
            </w:r>
          </w:p>
        </w:tc>
        <w:tc>
          <w:tcPr>
            <w:tcW w:type="dxa" w:w="1984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{{car_11_loading_point}}</w:t>
            </w:r>
          </w:p>
        </w:tc>
        <w:tc>
          <w:tcPr>
            <w:tcW w:type="dxa" w:w="2552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{{car_11_unloading_point}}</w:t>
            </w:r>
          </w:p>
        </w:tc>
      </w:tr>
      <w:tr>
        <w:tc>
          <w:tcPr>
            <w:tcW w:type="dxa" w:w="453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12</w:t>
            </w:r>
          </w:p>
        </w:tc>
        <w:tc>
          <w:tcPr>
            <w:tcW w:type="dxa" w:w="1360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{{car_12_brand}}</w:t>
            </w:r>
          </w:p>
        </w:tc>
        <w:tc>
          <w:tcPr>
            <w:tcW w:type="dxa" w:w="2382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{{car_12_vin}}</w:t>
            </w:r>
          </w:p>
        </w:tc>
        <w:tc>
          <w:tcPr>
            <w:tcW w:type="dxa" w:w="1984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{{car_12_loading_point}}</w:t>
            </w:r>
          </w:p>
        </w:tc>
        <w:tc>
          <w:tcPr>
            <w:tcW w:type="dxa" w:w="2552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{{car_12_unloading_point}}</w:t>
            </w:r>
          </w:p>
        </w:tc>
      </w:tr>
    </w:tbl>
    <w:p>
      <w:pPr>
        <w:spacing w:before="60" w:after="60" w:line="240" w:lineRule="auto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Общее количество: {{cargo_count}} шт.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3.1.1. По каждому автомобилю до начала соответствующей погрузки Стороны фиксируют точку погрузки и точку выгрузки путем отметки в таблице п. 3.1 либо в письменном коммерческом распоряжении Арендатора, направленном по ЭДО, электронной почте или в согласованном Сторонами мессенджере. Такое распоряжение является частью условий коммерческого использования ТС по настоящему Договору. Изменение распределения конкретного автомобиля между согласованными точками в пределах маршрута само по себе не образует нового рейса и не изменяет арендную плату, если Стороны письменно не согласовали иное.</w:t>
      </w:r>
    </w:p>
    <w:p>
      <w:pPr>
        <w:spacing w:before="0" w:after="60" w:line="240" w:lineRule="auto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3.2. Согласованные точки погрузки: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 xml:space="preserve">3.2.1. Точка погрузки № 1 — </w:t>
      </w:r>
      <w:r>
        <w:rPr>
          <w:rFonts w:ascii="Times New Roman" w:hAnsi="Times New Roman" w:cs="Times New Roman" w:eastAsia="Times New Roman"/>
          <w:b w:val="0"/>
          <w:sz w:val="21"/>
          <w:u w:val="none"/>
        </w:rPr>
        <w:t>{{loading_1_address}}. Плановая дата и время подачи ТС: {{loading_1_date}} г., с {{loading_1_time_from}} до {{loading_1_time_to}}.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 xml:space="preserve">3.2.2. Точка погрузки № 2 — </w:t>
      </w:r>
      <w:r>
        <w:rPr>
          <w:rFonts w:ascii="Times New Roman" w:hAnsi="Times New Roman" w:cs="Times New Roman" w:eastAsia="Times New Roman"/>
          <w:b w:val="0"/>
          <w:sz w:val="21"/>
          <w:u w:val="none"/>
        </w:rPr>
        <w:t>{{loading_2_address}}. Плановая дата и время подачи ТС: {{loading_2_date}} г., с {{loading_2_time_from}} до {{loading_2_time_to}}.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 xml:space="preserve">3.2.3. Точка погрузки № 3 — </w:t>
      </w:r>
      <w:r>
        <w:rPr>
          <w:rFonts w:ascii="Times New Roman" w:hAnsi="Times New Roman" w:cs="Times New Roman" w:eastAsia="Times New Roman"/>
          <w:b w:val="0"/>
          <w:sz w:val="21"/>
          <w:u w:val="none"/>
        </w:rPr>
        <w:t>{{loading_3_address}}. Плановая дата и время подачи ТС: {{loading_3_date}} г., с {{loading_3_time_from}} до {{loading_3_time_to}}.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 xml:space="preserve">3.2.4. Точка погрузки № 4 — </w:t>
      </w:r>
      <w:r>
        <w:rPr>
          <w:rFonts w:ascii="Times New Roman" w:hAnsi="Times New Roman" w:cs="Times New Roman" w:eastAsia="Times New Roman"/>
          <w:b w:val="0"/>
          <w:sz w:val="21"/>
          <w:u w:val="none"/>
        </w:rPr>
        <w:t>{{loading_4_address}}. Плановая дата и время подачи ТС: {{loading_4_date}} г., с {{loading_4_time_from}} до {{loading_4_time_to}}.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 xml:space="preserve">3.2.5. Точка погрузки № 5 — </w:t>
      </w:r>
      <w:r>
        <w:rPr>
          <w:rFonts w:ascii="Times New Roman" w:hAnsi="Times New Roman" w:cs="Times New Roman" w:eastAsia="Times New Roman"/>
          <w:b w:val="0"/>
          <w:sz w:val="21"/>
          <w:u w:val="none"/>
        </w:rPr>
        <w:t>{{loading_5_address}}. Плановая дата и время подачи ТС: {{loading_5_date}} г., с {{loading_5_time_from}} до {{loading_5_time_to}}.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 xml:space="preserve">3.2.6. Точка погрузки № 6 — </w:t>
      </w:r>
      <w:r>
        <w:rPr>
          <w:rFonts w:ascii="Times New Roman" w:hAnsi="Times New Roman" w:cs="Times New Roman" w:eastAsia="Times New Roman"/>
          <w:b w:val="0"/>
          <w:sz w:val="21"/>
          <w:u w:val="none"/>
        </w:rPr>
        <w:t>{{loading_6_address}}. Плановая дата и время подачи ТС: {{loading_6_date}} г., с {{loading_6_time_from}} до {{loading_6_time_to}}.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 xml:space="preserve">3.2.7. Точка погрузки № 7 — </w:t>
      </w:r>
      <w:r>
        <w:rPr>
          <w:rFonts w:ascii="Times New Roman" w:hAnsi="Times New Roman" w:cs="Times New Roman" w:eastAsia="Times New Roman"/>
          <w:b w:val="0"/>
          <w:sz w:val="21"/>
          <w:u w:val="none"/>
        </w:rPr>
        <w:t>{{loading_7_address}}. Плановая дата и время подачи ТС: {{loading_7_date}} г., с {{loading_7_time_from}} до {{loading_7_time_to}}.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 xml:space="preserve">3.2.8. Точка погрузки № 8 — </w:t>
      </w:r>
      <w:r>
        <w:rPr>
          <w:rFonts w:ascii="Times New Roman" w:hAnsi="Times New Roman" w:cs="Times New Roman" w:eastAsia="Times New Roman"/>
          <w:b w:val="0"/>
          <w:sz w:val="21"/>
          <w:u w:val="none"/>
        </w:rPr>
        <w:t>{{loading_8_address}}. Плановая дата и время подачи ТС: {{loading_8_date}} г., с {{loading_8_time_from}} до {{loading_8_time_to}}.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 xml:space="preserve">3.2.9. Точка погрузки № 9 — </w:t>
      </w:r>
      <w:r>
        <w:rPr>
          <w:rFonts w:ascii="Times New Roman" w:hAnsi="Times New Roman" w:cs="Times New Roman" w:eastAsia="Times New Roman"/>
          <w:b w:val="0"/>
          <w:sz w:val="21"/>
          <w:u w:val="none"/>
        </w:rPr>
        <w:t>{{loading_9_address}}. Плановая дата и время подачи ТС: {{loading_9_date}} г., с {{loading_9_time_from}} до {{loading_9_time_to}}.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 xml:space="preserve">3.2.10. Точка погрузки № 10 — </w:t>
      </w:r>
      <w:r>
        <w:rPr>
          <w:rFonts w:ascii="Times New Roman" w:hAnsi="Times New Roman" w:cs="Times New Roman" w:eastAsia="Times New Roman"/>
          <w:b w:val="0"/>
          <w:sz w:val="21"/>
          <w:u w:val="none"/>
        </w:rPr>
        <w:t>{{loading_10_address}}. Плановая дата и время подачи ТС: {{loading_10_date}} г., с {{loading_10_time_from}} до {{loading_10_time_to}}.</w:t>
      </w:r>
    </w:p>
    <w:p>
      <w:pPr>
        <w:spacing w:before="0" w:after="60" w:line="240" w:lineRule="auto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3.3. Согласованные точки выгрузки: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 xml:space="preserve">3.3.1. Точка выгрузки № 1 — </w:t>
      </w:r>
      <w:r>
        <w:rPr>
          <w:rFonts w:ascii="Times New Roman" w:hAnsi="Times New Roman" w:cs="Times New Roman" w:eastAsia="Times New Roman"/>
          <w:b w:val="0"/>
          <w:sz w:val="21"/>
          <w:u w:val="none"/>
        </w:rPr>
        <w:t>{{unloading_1_address}}. Плановая дата завершения: {{unloading_1_date}} г.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 xml:space="preserve">3.3.2. Точка выгрузки № 2 — </w:t>
      </w:r>
      <w:r>
        <w:rPr>
          <w:rFonts w:ascii="Times New Roman" w:hAnsi="Times New Roman" w:cs="Times New Roman" w:eastAsia="Times New Roman"/>
          <w:b w:val="0"/>
          <w:sz w:val="21"/>
          <w:u w:val="none"/>
        </w:rPr>
        <w:t>{{unloading_2_address}}. Плановая дата завершения: {{unloading_2_date}} г.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 xml:space="preserve">3.3.3. Точка выгрузки № 3 — </w:t>
      </w:r>
      <w:r>
        <w:rPr>
          <w:rFonts w:ascii="Times New Roman" w:hAnsi="Times New Roman" w:cs="Times New Roman" w:eastAsia="Times New Roman"/>
          <w:b w:val="0"/>
          <w:sz w:val="21"/>
          <w:u w:val="none"/>
        </w:rPr>
        <w:t>{{unloading_3_address}}. Плановая дата завершения: {{unloading_3_date}} г.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 xml:space="preserve">3.3.4. Точка выгрузки № 4 — </w:t>
      </w:r>
      <w:r>
        <w:rPr>
          <w:rFonts w:ascii="Times New Roman" w:hAnsi="Times New Roman" w:cs="Times New Roman" w:eastAsia="Times New Roman"/>
          <w:b w:val="0"/>
          <w:sz w:val="21"/>
          <w:u w:val="none"/>
        </w:rPr>
        <w:t>{{unloading_4_address}}. Плановая дата завершения: {{unloading_4_date}} г.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 xml:space="preserve">3.3.5. Точка выгрузки № 5 — </w:t>
      </w:r>
      <w:r>
        <w:rPr>
          <w:rFonts w:ascii="Times New Roman" w:hAnsi="Times New Roman" w:cs="Times New Roman" w:eastAsia="Times New Roman"/>
          <w:b w:val="0"/>
          <w:sz w:val="21"/>
          <w:u w:val="none"/>
        </w:rPr>
        <w:t>{{unloading_5_address}}. Плановая дата завершения: {{unloading_5_date}} г.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 xml:space="preserve">3.3.6. Точка выгрузки № 6 — </w:t>
      </w:r>
      <w:r>
        <w:rPr>
          <w:rFonts w:ascii="Times New Roman" w:hAnsi="Times New Roman" w:cs="Times New Roman" w:eastAsia="Times New Roman"/>
          <w:b w:val="0"/>
          <w:sz w:val="21"/>
          <w:u w:val="none"/>
        </w:rPr>
        <w:t>{{unloading_6_address}}. Плановая дата завершения: {{unloading_6_date}} г.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 xml:space="preserve">3.3.7. Точка выгрузки № 7 — </w:t>
      </w:r>
      <w:r>
        <w:rPr>
          <w:rFonts w:ascii="Times New Roman" w:hAnsi="Times New Roman" w:cs="Times New Roman" w:eastAsia="Times New Roman"/>
          <w:b w:val="0"/>
          <w:sz w:val="21"/>
          <w:u w:val="none"/>
        </w:rPr>
        <w:t>{{unloading_7_address}}. Плановая дата завершения: {{unloading_7_date}} г.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 xml:space="preserve">3.3.8. Точка выгрузки № 8 — </w:t>
      </w:r>
      <w:r>
        <w:rPr>
          <w:rFonts w:ascii="Times New Roman" w:hAnsi="Times New Roman" w:cs="Times New Roman" w:eastAsia="Times New Roman"/>
          <w:b w:val="0"/>
          <w:sz w:val="21"/>
          <w:u w:val="none"/>
        </w:rPr>
        <w:t>{{unloading_8_address}}. Плановая дата завершения: {{unloading_8_date}} г.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 xml:space="preserve">3.3.9. Точка выгрузки № 9 — </w:t>
      </w:r>
      <w:r>
        <w:rPr>
          <w:rFonts w:ascii="Times New Roman" w:hAnsi="Times New Roman" w:cs="Times New Roman" w:eastAsia="Times New Roman"/>
          <w:b w:val="0"/>
          <w:sz w:val="21"/>
          <w:u w:val="none"/>
        </w:rPr>
        <w:t>{{unloading_9_address}}. Плановая дата завершения: {{unloading_9_date}} г.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 xml:space="preserve">3.3.10. Точка выгрузки № 10 — </w:t>
      </w:r>
      <w:r>
        <w:rPr>
          <w:rFonts w:ascii="Times New Roman" w:hAnsi="Times New Roman" w:cs="Times New Roman" w:eastAsia="Times New Roman"/>
          <w:b w:val="0"/>
          <w:sz w:val="21"/>
          <w:u w:val="none"/>
        </w:rPr>
        <w:t>{{unloading_10_address}}. Плановая дата завершения: {{unloading_10_date}} г.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3.4. Согласованный маршрут: {{route}}.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Рейс может включать последовательную погрузку автомобилей в одной или нескольких точках и последовательную выгрузку автомобилей в одной или нескольких точках согласно распределению по п. 3.1. Арендатор вправе давать экипажу обязательные распоряжения, относящиеся к коммерческой эксплуатации ТС, включая последовательность подачи, конкретные автомобили/VIN для погрузки и выгрузки, места заезда, стоянки и маршрут в пределах разумного и законного использования ТС. Распоряжения, касающиеся непосредственно управления, безопасности и технической эксплуатации, относятся к компетенции Арендодателя и экипажа.</w:t>
      </w:r>
    </w:p>
    <w:p>
      <w:pPr>
        <w:spacing w:before="0" w:after="60" w:line="240" w:lineRule="auto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3.5. Член экипажа Арендодателя (водитель):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ФИО: {{driver_full_name}}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Дата рождения: {{driver_birth_date}}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Паспорт: {{driver_passport}}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Выдан: {{driver_passport_issuer}}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Дата выдачи: {{driver_passport_issue_date}}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Водительское удостоверение: {{driver_license}}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Дата выдачи: {{driver_license_issue_date}}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Адрес регистрации: {{driver_address}}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Телефон: {{driver_phone}}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3.6. Арендодатель гарантирует, что указанный водитель является его работником в смысле п. 2 ст. 635 ГК РФ, допущен к управлению соответствующей категорией ТС, обладает необходимой квалификацией и соблюдает обязательные требования к режиму труда и отдыха. Все расчеты с экипажем, включая оплату труда, суточные и иные расходы на его содержание, производит Арендодатель, если Стороны письменно не согласовали иное.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3.7. Арендодатель обеспечивает оформление путевого листа в случаях и порядке, предусмотренных законодательством, а также необходимые предрейсовые/предсменные мероприятия в отношении водителя и технического состояния ТС. Путевой лист оформляется Арендодателем как лицом, предоставившим ТС во временное владение и пользование по договору аренды с экипажем.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3.8. Если для исполнения договоров Арендатора с третьими лицами требуется подписание водителем транспортных или сопроводительных документов от имени Арендатора, такое подписание допускается только в пределах выданного Арендатором поручения/доверенности либо иного подтвержденного полномочия. Сам по себе факт подписи водителя не изменяет правовую природу настоящего Договора и не делает Арендодателя перевозчиком по отношению к Арендатору.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3.9. Обмен адресами, временными окнами, распределением конкретных автомобилей/VIN по точкам погрузки и выгрузки, коммерческими распоряжениями, подтверждениями, контактами и иными рабочими данными допускается по электронной почте и в мессенджерах. Такая переписка признается Сторонами допустимым доказательством согласования условий исполнения Договора.</w:t>
      </w:r>
    </w:p>
    <w:p>
      <w:pPr>
        <w:spacing w:before="80" w:after="60" w:line="240" w:lineRule="auto"/>
      </w:pPr>
      <w:r>
        <w:rPr>
          <w:rFonts w:ascii="Times New Roman" w:hAnsi="Times New Roman" w:cs="Times New Roman" w:eastAsia="Times New Roman"/>
          <w:b/>
          <w:sz w:val="21"/>
          <w:u w:val="none"/>
        </w:rPr>
        <w:t>4. АРЕНДНАЯ ПЛАТА, НДС И ПОРЯДОК ОПЛАТЫ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4.1. Арендная плата за предоставление ТС с экипажем на весь согласованный рейс составляет: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{{sum_total}} руб. ({{sum_total_words}}).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НДС не облагается (упрощённая система налогообложения).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4.2. Стороны специально согласовали иное распределение расходов, чем предусмотрено диспозитивным правилом ст. 636 ГК РФ: в указанную фиксированную арендную плату включены расходы Арендодателя на топливо и иные расходуемые материалы, оплату труда и содержание экипажа, техническое обслуживание и ремонт ТС, обязательные сборы, платные автомобильные дороги, необходимые стоянки и иные обычные расходы, непосредственно связанные с предоставлением и эксплуатацией ТС на согласованном рейсе, если иное заранее письменно не согласовано Сторонами.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4.3. Арендодатель подтверждает, что применяет упрощённую систему налогообложения и не является плательщиком НДС; арендная плата указана без НДС и НДС не облагается. Если в течение срока действия Договора у Арендодателя возникнет обязанность по исчислению НДС, Стороны согласуют порядок расчетов дополнительным письменным соглашением.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4.4. Основанием для оплаты являются: настоящий Договор; счет Арендодателя; УПД и/или акт оказанных услуг по управлению и технической эксплуатации/акт аренды; Акт приема-передачи и возврата ТС. Сведения из электронной транспортной накладной (ЭТрН), ее визуализация либо иной перевозочный документ по внешнему договору Арендатора могут использоваться исключительно как дополнительное подтверждение фактического завершения рейса и не являются документом об оказании Арендодателем услуг перевозки. Перевозочные документы оформляются в форме, обязательной по законодательству на дату перевозки.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4.5. Оплата производится в течение 30 (тридцати) банковских дней с даты фактического возврата ТС и получения Арендатором последнего из обязательных надлежащим образом оформленных расчетных и закрывающих документов, в том числе через ЭДО.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4.6. При наличии ошибок в счетах-фактурах, УПД или иных документах, препятствующих их отражению в бухгалтерском/налоговом учете, течение срока оплаты приостанавливается до устранения ошибок и предоставления исправленных документов.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4.7. Арендатор вправе произвести зачет документально подтвержденных встречных денежных требований к Арендодателю с соблюдением требований законодательства.</w:t>
      </w:r>
    </w:p>
    <w:p>
      <w:pPr>
        <w:spacing w:before="80" w:after="60" w:line="240" w:lineRule="auto"/>
      </w:pPr>
      <w:r>
        <w:rPr>
          <w:rFonts w:ascii="Times New Roman" w:hAnsi="Times New Roman" w:cs="Times New Roman" w:eastAsia="Times New Roman"/>
          <w:b/>
          <w:sz w:val="21"/>
          <w:u w:val="none"/>
        </w:rPr>
        <w:t>5. ПЕРЕДАЧА, ЭКСПЛУАТАЦИЯ, СОДЕРЖАНИЕ И ВОЗВРАТ ТС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5.1. Передача ТС в аренду и его возврат оформляются Актом по форме Приложения № 1. В Акте фиксируются дата, время, место, пробег, внешнее состояние ТС, наличие документов и при необходимости иные сведения. Допускается подписание акта скан-копиями, посредством ЭДО или иным способом, позволяющим достоверно установить волю Сторон.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5.2. До передачи ТС Арендодатель предоставляет Арендатору для проверки копии регистрационных документов на тягач и прицеп/полуприцеп, действующий полис ОСАГО, документы водителя и иные обязательные документы, необходимые для законной эксплуатации ТС.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5.3. Арендодатель обязан в течение всего срока аренды поддерживать ТС в надлежащем, технически исправном и безопасном состоянии, осуществлять за свой счет текущий и капитальный ремонт и предоставлять необходимые принадлежности, если иное прямо не предусмотрено настоящим Договором.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5.4. Экипаж обеспечивает безопасное управление и техническую эксплуатацию ТС, соблюдение обязательных правил движения, требований к режиму труда и отдыха, а также выполнение технических операций по размещению и креплению автомобилей на автовозе в той части, в которой такие операции относятся к безопасной эксплуатации ТС. Арендатор обязан предоставить достоверные сведения о размещаемых автомобилях и не давать распоряжений, противоречащих законодательству, техническим ограничениям или требованиям безопасности.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5.5. При технической неисправности ТС либо иной невозможности продолжить его использование по причинам, относящимся к сфере ответственности Арендодателя, Арендодатель обязан незамедлительно устранить неисправность либо, с согласия Арендатора, предоставить эквивалентное исправное ТС с экипажем. Срок замены — не более 48 часов с момента возникновения препятствия, если более короткий срок объективно возможен.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5.6. Без согласия Арендатора не допускаются замена тягача/прицепа, передача управления иному водителю, перецепка либо иные изменения состава автопоезда, кроме действий, объективно необходимых для предотвращения аварии, вреда людям или имуществу. Обо всех таких действиях Арендодатель уведомляет Арендатора незамедлительно.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5.7. По заданию Арендатора экипаж осуществляет фотофиксацию автомобилей при их размещении на ТС и снятии с ТС и передает материалы Арендатору. Такая фотофиксация является дополнительной обязанностью в рамках эксплуатации ТС и не означает принятия Арендодателем автомобилей к перевозке в качестве перевозчика.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5.8. Если фактическое использование ТС временно невозможно из-за технической неисправности, отсутствия экипажа или иного нарушения со стороны Арендодателя, Арендатор не несет дополнительных расходов за соответствующий период; фиксированная плата за рейс не увеличивается.</w:t>
      </w:r>
    </w:p>
    <w:p>
      <w:pPr>
        <w:spacing w:before="80" w:after="60" w:line="240" w:lineRule="auto"/>
      </w:pPr>
      <w:r>
        <w:rPr>
          <w:rFonts w:ascii="Times New Roman" w:hAnsi="Times New Roman" w:cs="Times New Roman" w:eastAsia="Times New Roman"/>
          <w:b/>
          <w:sz w:val="21"/>
          <w:u w:val="none"/>
        </w:rPr>
        <w:t>6. СТРАХОВАНИЕ И ОТВЕТСТВЕННОСТЬ СТОРОН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6.1. Арендодатель обязан обеспечить наличие в течение всего срока аренды обязательного страхования ТС и ответственности в случаях, когда такое страхование требуется законом или настоящим Договором, и предоставить подтверждающие документы по требованию Арендатора.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6.2. Арендодатель отвечает за действия и бездействие экипажа как за свои собственные, включая нарушения правил управления и технической эксплуатации ТС, а также за техническую исправность ТС в пределах обязанностей, возложенных на Арендодателя законом и настоящим Договором.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6.3. За вред, причиненный третьим лицам арендованным ТС, его механизмами, устройствами или оборудованием, ответственность распределяется в соответствии со ст. 640 ГК РФ. Право Арендодателя на регресс к Арендатору возникает при наличии и доказанности вины Арендатора в предусмотренных законом случаях.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6.4. В случае гибели или повреждения арендованного ТС Арендатор возмещает Арендодателю убытки только при условии, что Арендодатель докажет обстоятельства, за которые Арендатор отвечает в соответствии с законом или настоящим Договором.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6.5. Арендодатель не несет ответственность за сохранность размещенных на ТС автомобилей на условиях презумпции ответственности перевозчика. Вместе с тем Арендодатель обязан возместить Арендатору документально подтвержденный реальный ущерб, причиненный таким автомобилям, если доказана причинная связь ущерба с: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– технической неисправностью или ненадлежащим состоянием ТС, за которое отвечает Арендодатель;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– виновными действиями/бездействием экипажа при управлении или технической эксплуатации ТС;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– нарушением экипажем обязательных требований к безопасному размещению или креплению автомобилей, если соответствующие действия выполнялись экипажем;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– самовольным отступлением экипажа от законных коммерческих распоряжений Арендатора, если такое отступление явилось причиной ущерба.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6.6. При наличии оснований по п. 6.5 размер подлежащего возмещению реального ущерба может включать стоимость восстановительного ремонта, документально подтвержденную утрату товарной стоимости, а также суммы, фактически и обоснованно уплаченные Арендатором его клиенту вследствие того же повреждения, при условии отсутствия двойного возмещения и доказанности прямой причинной связи.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6.7. Арендодатель обязан незамедлительно уведомлять Арендатора о ДТП, поломке, возгорании, противоправных действиях третьих лиц и иных событиях, способных повлиять на безопасность ТС, автомобилей или сроки рейса, а при необходимости обращаться в компетентные органы и обеспечивать оформление предусмотренных законом документов.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6.8. За непредоставление ТС в согласованные дату и временное окно по вине Арендодателя Арендодатель уплачивает Арендатору штраф в размере 20% от арендной платы по настоящему Договору и возмещает документально подтвержденные реальные убытки в части, не покрытой штрафом.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6.9. За нарушение планового срока завершения рейса по причинам, вызванным неисправностью ТС, действиями/бездействием экипажа или иным нарушением Арендодателя, Арендодатель уплачивает Арендатору неустойку в размере 0,5% от арендной платы за каждый полный день просрочки, но не более 30% от арендной платы, а также возмещает документально подтвержденные реальные убытки в части, не покрытой неустойкой.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6.10. Арендодатель обязан передать Арендатору предусмотренные настоящим Договором закрывающие и подтверждающие документы в течение 15 (пятнадцати) календарных дней после возврата ТС. За просрочку — неустойка 0,5% от арендной платы за каждый день, но не более 20% от арендной платы.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6.11. Арендодатель отвечает за корректность выставленных им счетов-фактур, УПД и иных документов в части своих налоговых обязательств. Если отказ в вычете НДС, доначисление налога, пени или штраф возникли непосредственно вследствие документально подтвержденной ошибки Арендодателя, он возмещает Арендатору соответствующие реальные убытки после вступления решения налогового органа в силу либо их признания Арендодателем.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6.12. Арендатор обязан своевременно оплачивать арендную плату, использовать ТС в согласованных целях, соблюдать установленные технические ограничения и не требовать от экипажа совершения незаконных или заведомо небезопасных действий.</w:t>
      </w:r>
    </w:p>
    <w:p>
      <w:pPr>
        <w:spacing w:before="80" w:after="60" w:line="240" w:lineRule="auto"/>
      </w:pPr>
      <w:r>
        <w:rPr>
          <w:rFonts w:ascii="Times New Roman" w:hAnsi="Times New Roman" w:cs="Times New Roman" w:eastAsia="Times New Roman"/>
          <w:b/>
          <w:sz w:val="21"/>
          <w:u w:val="none"/>
        </w:rPr>
        <w:t>7. СЕРВИС «ТЕХНОЩИТ» И ПЕРСОНАЛЬНЫЕ ДАННЫЕ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7.1. Арендатор вправе использовать внутренний сервис контроля «ТехноЩит» для проверки Арендодателя, экипажа и ТС, мониторинга маршрута и стоянок, а также фиксации событий, связанных с использованием ТС.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7.2. Арендодатель обязуется по разумным запросам Арендатора предоставлять копии документов на Арендодателя, ТС и водителя, а также сведения, необходимые для проверки и мониторинга, включая номера ТС и контактные данные.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7.3. Арендодатель гарантирует наличие законных оснований для передачи Арендатору персональных данных членов экипажа и, когда это требуется законодательством, получение необходимых согласий, в том числе на использование данных в сервисе «ТехноЩит», фото/видеофиксацию и геолокацию.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7.4. Стороны обязуются соблюдать требования Федерального закона № 152-ФЗ «О персональных данных» и использовать полученные персональные данные только в объеме, необходимом для заключения и исполнения Договора, контроля использования ТС, соблюдения законодательства и защиты прав и законных интересов Сторон и клиентов Арендатора.</w:t>
      </w:r>
    </w:p>
    <w:p>
      <w:pPr>
        <w:spacing w:before="80" w:after="60" w:line="240" w:lineRule="auto"/>
      </w:pPr>
      <w:r>
        <w:rPr>
          <w:rFonts w:ascii="Times New Roman" w:hAnsi="Times New Roman" w:cs="Times New Roman" w:eastAsia="Times New Roman"/>
          <w:b/>
          <w:sz w:val="21"/>
          <w:u w:val="none"/>
        </w:rPr>
        <w:t>8. СРОК ДЕЙСТВИЯ, ФОРС-МАЖОР, СПОРЫ И ЗАКЛЮЧИТЕЛЬНЫЕ ПОЛОЖЕНИЯ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8.1. Договор вступает в силу с момента его подписания Сторонами, в том числе путем обмена подписанными скан-копиями или через ЭДО, и действует до полного исполнения обязательств, но в любом случае в части расчетов и ответственности — до их завершения.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8.2. Стороны освобождаются от ответственности за неисполнение обязательств вследствие обстоятельств непреодолимой силы при наличии предусмотренных законом признаков таких обстоятельств и причинной связи с неисполнением. Сторона обязана уведомить другую Сторону в разумный срок.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8.3. Претензионный порядок обязателен. Срок ответа на письменную претензию — 10 (десять) календарных дней с даты ее получения.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8.4. При недостижении соглашения спор подлежит рассмотрению в Арбитражном суде по месту нахождения Арендатора, если такая договорная подсудность допустима действующим законодательством.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8.5. Изменения существенных условий настоящего Договора, включая замену ТС, экипажа, существенное изменение маршрута или арендной платы, допускаются в письменной форме, включая ЭДО, электронную почту и мессенджеры, если из переписки достоверно следует согласованная воля обеих Сторон.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8.6. Договор составлен в письменной форме. Стороны признают юридическую силу подписанных скан-копий до момента обмена оригиналами, если обмен оригиналами необходим. Договор аренды ТС с экипажем заключается в письменной форме независимо от срока.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8.7. Неотъемлемой частью Договора является Приложение № 1 — «Акт приема-передачи и возврата транспортного средства с экипажем». Распределение автомобилей/VIN по точкам погрузки и выгрузки в таблице п. 3.1 и последующие письменные коммерческие распоряжения Арендатора, согласованные в порядке п. 3.9, применяются совместно с настоящим Договором.</w:t>
      </w:r>
    </w:p>
    <w:p>
      <w:pPr>
        <w:spacing w:before="80" w:after="60" w:line="240" w:lineRule="auto"/>
      </w:pPr>
      <w:r>
        <w:rPr>
          <w:rFonts w:ascii="Times New Roman" w:hAnsi="Times New Roman" w:cs="Times New Roman" w:eastAsia="Times New Roman"/>
          <w:b/>
          <w:sz w:val="21"/>
          <w:u w:val="none"/>
        </w:rPr>
        <w:t>9. РЕКВИЗИТЫ И ПОДПИСИ СТОРОН</w:t>
      </w:r>
    </w:p>
    <w:tbl>
      <w:tblPr>
        <w:tblStyle w:val="TableGrid"/>
        <w:tblW w:type="dxa" w:w="9921"/>
        <w:tblLayout w:type="fixed"/>
        <w:tblLook w:firstColumn="1" w:firstRow="1" w:lastColumn="0" w:lastRow="0" w:noHBand="0" w:noVBand="1" w:val="04A0"/>
      </w:tblPr>
      <w:tblGrid>
        <w:gridCol w:w="4960"/>
        <w:gridCol w:w="4961"/>
      </w:tblGrid>
      <w:tr>
        <w:tc>
          <w:tcPr>
            <w:tcW w:type="dxa" w:w="4960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/>
                <w:sz w:val="18"/>
                <w:u w:val="none"/>
              </w:rPr>
              <w:t>АРЕНДАТОР:</w:t>
              <w:br/>
            </w:r>
            <w:r>
              <w:rPr>
                <w:rFonts w:ascii="Times New Roman" w:hAnsi="Times New Roman" w:cs="Times New Roman" w:eastAsia="Times New Roman"/>
                <w:b/>
                <w:sz w:val="18"/>
                <w:u w:val="none"/>
              </w:rPr>
              <w:t>{{lessee_full_name}}</w:t>
              <w:br/>
            </w:r>
            <w:r>
              <w:rPr>
                <w:rFonts w:ascii="Times New Roman" w:hAnsi="Times New Roman" w:cs="Times New Roman" w:eastAsia="Times New Roman"/>
                <w:b/>
                <w:sz w:val="18"/>
                <w:u w:val="none"/>
              </w:rPr>
              <w:t>ИНН {{lessee_inn}}</w:t>
              <w:br/>
            </w:r>
            <w:r>
              <w:rPr>
                <w:rFonts w:ascii="Times New Roman" w:hAnsi="Times New Roman" w:cs="Times New Roman" w:eastAsia="Times New Roman"/>
                <w:b/>
                <w:sz w:val="18"/>
                <w:u w:val="none"/>
              </w:rPr>
              <w:t>{{lessee_ogrn_label}} {{lessee_ogrn}}</w:t>
              <w:br/>
            </w:r>
            <w:r>
              <w:rPr>
                <w:rFonts w:ascii="Times New Roman" w:hAnsi="Times New Roman" w:cs="Times New Roman" w:eastAsia="Times New Roman"/>
                <w:b/>
                <w:sz w:val="18"/>
                <w:u w:val="none"/>
              </w:rPr>
              <w:t>Юридический адрес: {{lessee_address}}</w:t>
              <w:br/>
            </w:r>
            <w:r>
              <w:rPr>
                <w:rFonts w:ascii="Times New Roman" w:hAnsi="Times New Roman" w:cs="Times New Roman" w:eastAsia="Times New Roman"/>
                <w:b/>
                <w:sz w:val="18"/>
                <w:u w:val="none"/>
              </w:rPr>
              <w:t>р/с {{lessee_account}} в {{lessee_bank}}</w:t>
              <w:br/>
            </w:r>
            <w:r>
              <w:rPr>
                <w:rFonts w:ascii="Times New Roman" w:hAnsi="Times New Roman" w:cs="Times New Roman" w:eastAsia="Times New Roman"/>
                <w:b/>
                <w:sz w:val="18"/>
                <w:u w:val="none"/>
              </w:rPr>
              <w:t>БИК {{lessee_bik}}</w:t>
              <w:br/>
            </w:r>
            <w:r>
              <w:rPr>
                <w:rFonts w:ascii="Times New Roman" w:hAnsi="Times New Roman" w:cs="Times New Roman" w:eastAsia="Times New Roman"/>
                <w:b/>
                <w:sz w:val="18"/>
                <w:u w:val="none"/>
              </w:rPr>
              <w:t>к/с {{lessee_corr_account}}</w:t>
              <w:br/>
            </w:r>
            <w:r>
              <w:rPr>
                <w:rFonts w:ascii="Times New Roman" w:hAnsi="Times New Roman" w:cs="Times New Roman" w:eastAsia="Times New Roman"/>
                <w:b/>
                <w:sz w:val="18"/>
                <w:u w:val="none"/>
              </w:rPr>
              <w:t>E-mail: {{lessee_email}}</w:t>
              <w:br/>
            </w:r>
            <w:r>
              <w:rPr>
                <w:rFonts w:ascii="Times New Roman" w:hAnsi="Times New Roman" w:cs="Times New Roman" w:eastAsia="Times New Roman"/>
                <w:b/>
                <w:sz w:val="18"/>
                <w:u w:val="none"/>
              </w:rPr>
              <w:t>ЭДО: {{lessee_edo}}</w:t>
              <w:br/>
            </w:r>
            <w:r>
              <w:rPr>
                <w:rFonts w:ascii="Times New Roman" w:hAnsi="Times New Roman" w:cs="Times New Roman" w:eastAsia="Times New Roman"/>
                <w:b/>
                <w:sz w:val="18"/>
                <w:u w:val="none"/>
              </w:rPr>
              <w:br/>
            </w:r>
            <w:r>
              <w:rPr>
                <w:rFonts w:ascii="Times New Roman" w:hAnsi="Times New Roman" w:cs="Times New Roman" w:eastAsia="Times New Roman"/>
                <w:b/>
                <w:sz w:val="18"/>
                <w:u w:val="none"/>
              </w:rPr>
              <w:t>{{lessee_director_position}}______________/ {{lessee_director_short}} /</w:t>
              <w:br/>
            </w:r>
            <w:r>
              <w:rPr>
                <w:rFonts w:ascii="Times New Roman" w:hAnsi="Times New Roman" w:cs="Times New Roman" w:eastAsia="Times New Roman"/>
                <w:b/>
                <w:sz w:val="18"/>
                <w:u w:val="none"/>
              </w:rPr>
              <w:t>М.П.</w:t>
            </w:r>
          </w:p>
        </w:tc>
        <w:tc>
          <w:tcPr>
            <w:tcW w:type="dxa" w:w="4961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/>
                <w:sz w:val="18"/>
                <w:u w:val="none"/>
              </w:rPr>
              <w:t>АРЕНДОДАТЕЛЬ:</w:t>
              <w:br/>
            </w:r>
            <w:r>
              <w:rPr>
                <w:rFonts w:ascii="Times New Roman" w:hAnsi="Times New Roman" w:cs="Times New Roman" w:eastAsia="Times New Roman"/>
                <w:b/>
                <w:sz w:val="18"/>
                <w:u w:val="none"/>
              </w:rPr>
              <w:t>{{lessor_full_name}}</w:t>
              <w:br/>
            </w:r>
            <w:r>
              <w:rPr>
                <w:rFonts w:ascii="Times New Roman" w:hAnsi="Times New Roman" w:cs="Times New Roman" w:eastAsia="Times New Roman"/>
                <w:b/>
                <w:sz w:val="18"/>
                <w:u w:val="none"/>
              </w:rPr>
              <w:t>ИНН {{lessor_inn}}</w:t>
              <w:br/>
            </w:r>
            <w:r>
              <w:rPr>
                <w:rFonts w:ascii="Times New Roman" w:hAnsi="Times New Roman" w:cs="Times New Roman" w:eastAsia="Times New Roman"/>
                <w:b/>
                <w:sz w:val="18"/>
                <w:u w:val="none"/>
              </w:rPr>
              <w:t>{{lessor_ogrn_label}} {{lessor_ogrn}}</w:t>
              <w:br/>
            </w:r>
            <w:r>
              <w:rPr>
                <w:rFonts w:ascii="Times New Roman" w:hAnsi="Times New Roman" w:cs="Times New Roman" w:eastAsia="Times New Roman"/>
                <w:b/>
                <w:sz w:val="18"/>
                <w:u w:val="none"/>
              </w:rPr>
              <w:t>Юридический адрес: {{lessor_address}}</w:t>
              <w:br/>
            </w:r>
            <w:r>
              <w:rPr>
                <w:rFonts w:ascii="Times New Roman" w:hAnsi="Times New Roman" w:cs="Times New Roman" w:eastAsia="Times New Roman"/>
                <w:b/>
                <w:sz w:val="18"/>
                <w:u w:val="none"/>
              </w:rPr>
              <w:t>р/с {{lessor_account}} в {{lessor_bank}}</w:t>
              <w:br/>
            </w:r>
            <w:r>
              <w:rPr>
                <w:rFonts w:ascii="Times New Roman" w:hAnsi="Times New Roman" w:cs="Times New Roman" w:eastAsia="Times New Roman"/>
                <w:b/>
                <w:sz w:val="18"/>
                <w:u w:val="none"/>
              </w:rPr>
              <w:t>БИК {{lessor_bik}}</w:t>
              <w:br/>
            </w:r>
            <w:r>
              <w:rPr>
                <w:rFonts w:ascii="Times New Roman" w:hAnsi="Times New Roman" w:cs="Times New Roman" w:eastAsia="Times New Roman"/>
                <w:b/>
                <w:sz w:val="18"/>
                <w:u w:val="none"/>
              </w:rPr>
              <w:t>к/с {{lessor_corr_account}}</w:t>
              <w:br/>
            </w:r>
            <w:r>
              <w:rPr>
                <w:rFonts w:ascii="Times New Roman" w:hAnsi="Times New Roman" w:cs="Times New Roman" w:eastAsia="Times New Roman"/>
                <w:b/>
                <w:sz w:val="18"/>
                <w:u w:val="none"/>
              </w:rPr>
              <w:t>E-mail: {{lessor_email}}</w:t>
              <w:br/>
            </w:r>
            <w:r>
              <w:rPr>
                <w:rFonts w:ascii="Times New Roman" w:hAnsi="Times New Roman" w:cs="Times New Roman" w:eastAsia="Times New Roman"/>
                <w:b/>
                <w:sz w:val="18"/>
                <w:u w:val="none"/>
              </w:rPr>
              <w:t>ЭДО: {{lessor_edo}}</w:t>
              <w:br/>
            </w:r>
            <w:r>
              <w:rPr>
                <w:rFonts w:ascii="Times New Roman" w:hAnsi="Times New Roman" w:cs="Times New Roman" w:eastAsia="Times New Roman"/>
                <w:b/>
                <w:sz w:val="18"/>
                <w:u w:val="none"/>
              </w:rPr>
              <w:br/>
            </w:r>
            <w:r>
              <w:rPr>
                <w:rFonts w:ascii="Times New Roman" w:hAnsi="Times New Roman" w:cs="Times New Roman" w:eastAsia="Times New Roman"/>
                <w:b/>
                <w:sz w:val="18"/>
                <w:u w:val="none"/>
              </w:rPr>
              <w:t>{{lessor_director_position}}______________/ {{lessor_director_short}} /</w:t>
              <w:br/>
            </w:r>
            <w:r>
              <w:rPr>
                <w:rFonts w:ascii="Times New Roman" w:hAnsi="Times New Roman" w:cs="Times New Roman" w:eastAsia="Times New Roman"/>
                <w:b/>
                <w:sz w:val="18"/>
                <w:u w:val="none"/>
              </w:rPr>
              <w:t>М.П.</w:t>
            </w:r>
          </w:p>
        </w:tc>
      </w:tr>
    </w:tbl>
    <w:p>
      <w:pPr>
        <w:pageBreakBefore/>
        <w:spacing w:before="0" w:after="120" w:line="240" w:lineRule="auto"/>
        <w:jc w:val="right"/>
      </w:pPr>
      <w:r>
        <w:rPr>
          <w:rFonts w:ascii="Times New Roman" w:hAnsi="Times New Roman" w:cs="Times New Roman" w:eastAsia="Times New Roman"/>
          <w:b w:val="0"/>
          <w:sz w:val="17"/>
          <w:u w:val="none"/>
        </w:rPr>
        <w:t>Приложение № 1</w:t>
        <w:br/>
      </w:r>
      <w:r>
        <w:rPr>
          <w:rFonts w:ascii="Times New Roman" w:hAnsi="Times New Roman" w:cs="Times New Roman" w:eastAsia="Times New Roman"/>
          <w:b w:val="0"/>
          <w:sz w:val="17"/>
          <w:u w:val="none"/>
        </w:rPr>
        <w:t>к Договору аренды транспортного средства</w:t>
        <w:br/>
      </w:r>
      <w:r>
        <w:rPr>
          <w:rFonts w:ascii="Times New Roman" w:hAnsi="Times New Roman" w:cs="Times New Roman" w:eastAsia="Times New Roman"/>
          <w:b w:val="0"/>
          <w:sz w:val="17"/>
          <w:u w:val="none"/>
        </w:rPr>
        <w:t>с экипажем № {{contract_number}} от {{contract_date}} г.</w:t>
      </w:r>
    </w:p>
    <w:p>
      <w:pPr>
        <w:spacing w:before="0" w:after="120" w:line="240" w:lineRule="auto"/>
        <w:jc w:val="center"/>
      </w:pPr>
      <w:r>
        <w:rPr>
          <w:rFonts w:ascii="Times New Roman" w:hAnsi="Times New Roman" w:cs="Times New Roman" w:eastAsia="Times New Roman"/>
          <w:b/>
          <w:sz w:val="24"/>
          <w:u w:val="none"/>
        </w:rPr>
        <w:t>АКТ ПРИЕМА-ПЕРЕДАЧИ И ВОЗВРАТА</w:t>
        <w:br/>
      </w:r>
      <w:r>
        <w:rPr>
          <w:rFonts w:ascii="Times New Roman" w:hAnsi="Times New Roman" w:cs="Times New Roman" w:eastAsia="Times New Roman"/>
          <w:b/>
          <w:sz w:val="24"/>
          <w:u w:val="none"/>
        </w:rPr>
        <w:t>ТРАНСПОРТНОГО СРЕДСТВА С ЭКИПАЖЕМ</w:t>
      </w:r>
    </w:p>
    <w:p>
      <w:pPr>
        <w:spacing w:before="0" w:after="12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Настоящий Акт составлен во исполнение Договора аренды транспортного средства с экипажем № {{contract_number}} от {{contract_date}} г. и фиксирует фактическое предоставление ТС Арендатору во временное владение и пользование на согласованный рейс, а также его последующий возврат Арендодателю.</w:t>
      </w:r>
    </w:p>
    <w:p>
      <w:pPr>
        <w:spacing w:before="0" w:after="60" w:line="240" w:lineRule="auto"/>
      </w:pPr>
      <w:r>
        <w:rPr>
          <w:rFonts w:ascii="Times New Roman" w:hAnsi="Times New Roman" w:cs="Times New Roman" w:eastAsia="Times New Roman"/>
          <w:b/>
          <w:sz w:val="21"/>
          <w:u w:val="none"/>
        </w:rPr>
        <w:t>1. ПЕРЕДАЧА ТС В АРЕНДУ</w:t>
      </w:r>
    </w:p>
    <w:tbl>
      <w:tblPr>
        <w:tblStyle w:val="TableGrid"/>
        <w:tblW w:type="dxa" w:w="9921"/>
        <w:tblLayout w:type="fixed"/>
        <w:tblLook w:firstColumn="1" w:firstRow="1" w:lastColumn="0" w:lastRow="0" w:noHBand="0" w:noVBand="1" w:val="04A0"/>
      </w:tblPr>
      <w:tblGrid>
        <w:gridCol w:w="4468"/>
        <w:gridCol w:w="5453"/>
      </w:tblGrid>
      <w:tr>
        <w:tc>
          <w:tcPr>
            <w:tcW w:type="dxa" w:w="4468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18"/>
                <w:u w:val="none"/>
              </w:rPr>
              <w:t>Место передачи</w:t>
            </w:r>
          </w:p>
        </w:tc>
        <w:tc>
          <w:tcPr>
            <w:tcW w:type="dxa" w:w="545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0" w:after="0" w:line="240" w:lineRule="auto"/>
              <w:jc w:val="left"/>
            </w:pPr>
          </w:p>
        </w:tc>
      </w:tr>
      <w:tr>
        <w:tc>
          <w:tcPr>
            <w:tcW w:type="dxa" w:w="4468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18"/>
                <w:u w:val="none"/>
              </w:rPr>
              <w:t>Фактические дата и время передачи</w:t>
            </w:r>
          </w:p>
        </w:tc>
        <w:tc>
          <w:tcPr>
            <w:tcW w:type="dxa" w:w="545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0" w:after="0" w:line="240" w:lineRule="auto"/>
              <w:jc w:val="left"/>
            </w:pPr>
          </w:p>
        </w:tc>
      </w:tr>
      <w:tr>
        <w:tc>
          <w:tcPr>
            <w:tcW w:type="dxa" w:w="4468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18"/>
                <w:u w:val="none"/>
              </w:rPr>
              <w:t>Тягач</w:t>
            </w:r>
          </w:p>
        </w:tc>
        <w:tc>
          <w:tcPr>
            <w:tcW w:type="dxa" w:w="545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18"/>
                <w:u w:val="none"/>
              </w:rPr>
              <w:t>{{tractor_brand}}, гос. номер {{tractor_plate}}</w:t>
            </w:r>
          </w:p>
        </w:tc>
      </w:tr>
      <w:tr>
        <w:tc>
          <w:tcPr>
            <w:tcW w:type="dxa" w:w="4468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18"/>
                <w:u w:val="none"/>
              </w:rPr>
              <w:t>Прицеп/полуприцеп</w:t>
            </w:r>
          </w:p>
        </w:tc>
        <w:tc>
          <w:tcPr>
            <w:tcW w:type="dxa" w:w="545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18"/>
                <w:u w:val="none"/>
              </w:rPr>
              <w:t>{{trailer_brand}}, гос. номер {{trailer_plate}}</w:t>
            </w:r>
          </w:p>
        </w:tc>
      </w:tr>
      <w:tr>
        <w:tc>
          <w:tcPr>
            <w:tcW w:type="dxa" w:w="4468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18"/>
                <w:u w:val="none"/>
              </w:rPr>
              <w:t>Пробег на момент передачи</w:t>
            </w:r>
          </w:p>
        </w:tc>
        <w:tc>
          <w:tcPr>
            <w:tcW w:type="dxa" w:w="545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0" w:after="0" w:line="240" w:lineRule="auto"/>
              <w:jc w:val="left"/>
            </w:pPr>
          </w:p>
        </w:tc>
      </w:tr>
      <w:tr>
        <w:tc>
          <w:tcPr>
            <w:tcW w:type="dxa" w:w="4468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18"/>
                <w:u w:val="none"/>
              </w:rPr>
              <w:t>Внешнее состояние / замечания</w:t>
            </w:r>
          </w:p>
        </w:tc>
        <w:tc>
          <w:tcPr>
            <w:tcW w:type="dxa" w:w="545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0" w:after="0" w:line="240" w:lineRule="auto"/>
              <w:jc w:val="left"/>
            </w:pPr>
          </w:p>
        </w:tc>
      </w:tr>
      <w:tr>
        <w:tc>
          <w:tcPr>
            <w:tcW w:type="dxa" w:w="4468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18"/>
                <w:u w:val="none"/>
              </w:rPr>
              <w:t>Переданные документы</w:t>
            </w:r>
          </w:p>
        </w:tc>
        <w:tc>
          <w:tcPr>
            <w:tcW w:type="dxa" w:w="545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18"/>
                <w:u w:val="none"/>
              </w:rPr>
              <w:t>СТС на тягач и прицеп/полуприцеп; ОСАГО; иные:</w:t>
            </w:r>
          </w:p>
        </w:tc>
      </w:tr>
      <w:tr>
        <w:tc>
          <w:tcPr>
            <w:tcW w:type="dxa" w:w="4468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18"/>
                <w:u w:val="none"/>
              </w:rPr>
              <w:t>Экипаж</w:t>
            </w:r>
          </w:p>
        </w:tc>
        <w:tc>
          <w:tcPr>
            <w:tcW w:type="dxa" w:w="545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18"/>
                <w:u w:val="none"/>
              </w:rPr>
              <w:t>{{driver_full_name}}</w:t>
            </w:r>
          </w:p>
        </w:tc>
      </w:tr>
    </w:tbl>
    <w:p>
      <w:pPr>
        <w:spacing w:before="60" w:after="12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Арендодатель передал, а Арендатор принял ТС во временное владение и пользование. Арендатору предоставлена возможность осуществлять коммерческую эксплуатацию ТС в пределах Договора; управление и техническая эксплуатация осуществляются экипажем Арендодателя.</w:t>
      </w:r>
    </w:p>
    <w:p>
      <w:pPr>
        <w:spacing w:before="0" w:after="60" w:line="240" w:lineRule="auto"/>
      </w:pPr>
      <w:r>
        <w:rPr>
          <w:rFonts w:ascii="Times New Roman" w:hAnsi="Times New Roman" w:cs="Times New Roman" w:eastAsia="Times New Roman"/>
          <w:b/>
          <w:sz w:val="21"/>
          <w:u w:val="none"/>
        </w:rPr>
        <w:t>2. ВОЗВРАТ ТС</w:t>
      </w:r>
    </w:p>
    <w:tbl>
      <w:tblPr>
        <w:tblStyle w:val="TableGrid"/>
        <w:tblW w:type="dxa" w:w="9921"/>
        <w:tblLayout w:type="fixed"/>
        <w:tblLook w:firstColumn="1" w:firstRow="1" w:lastColumn="0" w:lastRow="0" w:noHBand="0" w:noVBand="1" w:val="04A0"/>
      </w:tblPr>
      <w:tblGrid>
        <w:gridCol w:w="4468"/>
        <w:gridCol w:w="5453"/>
      </w:tblGrid>
      <w:tr>
        <w:tc>
          <w:tcPr>
            <w:tcW w:type="dxa" w:w="4468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18"/>
                <w:u w:val="none"/>
              </w:rPr>
              <w:t>Место возврата</w:t>
            </w:r>
          </w:p>
        </w:tc>
        <w:tc>
          <w:tcPr>
            <w:tcW w:type="dxa" w:w="545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0" w:after="0" w:line="240" w:lineRule="auto"/>
              <w:jc w:val="left"/>
            </w:pPr>
          </w:p>
        </w:tc>
      </w:tr>
      <w:tr>
        <w:tc>
          <w:tcPr>
            <w:tcW w:type="dxa" w:w="4468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18"/>
                <w:u w:val="none"/>
              </w:rPr>
              <w:t>Фактические дата и время возврата</w:t>
            </w:r>
          </w:p>
        </w:tc>
        <w:tc>
          <w:tcPr>
            <w:tcW w:type="dxa" w:w="545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0" w:after="0" w:line="240" w:lineRule="auto"/>
              <w:jc w:val="left"/>
            </w:pPr>
          </w:p>
        </w:tc>
      </w:tr>
      <w:tr>
        <w:tc>
          <w:tcPr>
            <w:tcW w:type="dxa" w:w="4468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18"/>
                <w:u w:val="none"/>
              </w:rPr>
              <w:t>Пробег на момент возврата</w:t>
            </w:r>
          </w:p>
        </w:tc>
        <w:tc>
          <w:tcPr>
            <w:tcW w:type="dxa" w:w="545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0" w:after="0" w:line="240" w:lineRule="auto"/>
              <w:jc w:val="left"/>
            </w:pPr>
          </w:p>
        </w:tc>
      </w:tr>
      <w:tr>
        <w:tc>
          <w:tcPr>
            <w:tcW w:type="dxa" w:w="4468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18"/>
                <w:u w:val="none"/>
              </w:rPr>
              <w:t>Состояние ТС / замечания</w:t>
            </w:r>
          </w:p>
        </w:tc>
        <w:tc>
          <w:tcPr>
            <w:tcW w:type="dxa" w:w="545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0" w:after="0" w:line="240" w:lineRule="auto"/>
              <w:jc w:val="left"/>
            </w:pPr>
          </w:p>
        </w:tc>
      </w:tr>
      <w:tr>
        <w:tc>
          <w:tcPr>
            <w:tcW w:type="dxa" w:w="4468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18"/>
                <w:u w:val="none"/>
              </w:rPr>
              <w:t>Иные отметки</w:t>
            </w:r>
          </w:p>
        </w:tc>
        <w:tc>
          <w:tcPr>
            <w:tcW w:type="dxa" w:w="545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0" w:after="0" w:line="240" w:lineRule="auto"/>
              <w:jc w:val="left"/>
            </w:pPr>
          </w:p>
        </w:tc>
      </w:tr>
    </w:tbl>
    <w:p>
      <w:pPr>
        <w:spacing w:before="60" w:after="1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С момента, указанного в строке «Фактические дата и время возврата», ТС считается возвращенным Арендодателю, если в настоящем Акте не указано иное.</w:t>
      </w:r>
    </w:p>
    <w:tbl>
      <w:tblPr>
        <w:tblStyle w:val="TableGrid"/>
        <w:tblW w:type="dxa" w:w="9921"/>
        <w:tblLayout w:type="fixed"/>
        <w:tblLook w:firstColumn="1" w:firstRow="1" w:lastColumn="0" w:lastRow="0" w:noHBand="0" w:noVBand="1" w:val="04A0"/>
      </w:tblPr>
      <w:tblGrid>
        <w:gridCol w:w="4960"/>
        <w:gridCol w:w="4961"/>
      </w:tblGrid>
      <w:tr>
        <w:tc>
          <w:tcPr>
            <w:tcW w:type="dxa" w:w="4960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/>
                <w:sz w:val="18"/>
                <w:u w:val="none"/>
              </w:rPr>
              <w:t>АРЕНДАТОР:</w:t>
              <w:br/>
            </w:r>
            <w:r>
              <w:rPr>
                <w:rFonts w:ascii="Times New Roman" w:hAnsi="Times New Roman" w:cs="Times New Roman" w:eastAsia="Times New Roman"/>
                <w:b w:val="0"/>
                <w:sz w:val="18"/>
                <w:u w:val="none"/>
              </w:rPr>
              <w:t>{{lessee_short_name}}</w:t>
              <w:br/>
            </w:r>
            <w:r>
              <w:rPr>
                <w:rFonts w:ascii="Times New Roman" w:hAnsi="Times New Roman" w:cs="Times New Roman" w:eastAsia="Times New Roman"/>
                <w:b w:val="0"/>
                <w:sz w:val="18"/>
                <w:u w:val="none"/>
              </w:rPr>
              <w:t>______________/ {{lessee_director_short}} /</w:t>
              <w:br/>
            </w:r>
            <w:r>
              <w:rPr>
                <w:rFonts w:ascii="Times New Roman" w:hAnsi="Times New Roman" w:cs="Times New Roman" w:eastAsia="Times New Roman"/>
                <w:b w:val="0"/>
                <w:sz w:val="18"/>
                <w:u w:val="none"/>
              </w:rPr>
              <w:t>М.П.</w:t>
            </w:r>
          </w:p>
        </w:tc>
        <w:tc>
          <w:tcPr>
            <w:tcW w:type="dxa" w:w="4961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/>
                <w:sz w:val="18"/>
                <w:u w:val="none"/>
              </w:rPr>
              <w:t>АРЕНДОДАТЕЛЬ:</w:t>
              <w:br/>
            </w:r>
            <w:r>
              <w:rPr>
                <w:rFonts w:ascii="Times New Roman" w:hAnsi="Times New Roman" w:cs="Times New Roman" w:eastAsia="Times New Roman"/>
                <w:b w:val="0"/>
                <w:sz w:val="18"/>
                <w:u w:val="none"/>
              </w:rPr>
              <w:t>{{lessor_short_name}}</w:t>
              <w:br/>
            </w:r>
            <w:r>
              <w:rPr>
                <w:rFonts w:ascii="Times New Roman" w:hAnsi="Times New Roman" w:cs="Times New Roman" w:eastAsia="Times New Roman"/>
                <w:b w:val="0"/>
                <w:sz w:val="18"/>
                <w:u w:val="none"/>
              </w:rPr>
              <w:t>______________/ {{lessor_director_short}} /</w:t>
              <w:br/>
            </w:r>
            <w:r>
              <w:rPr>
                <w:rFonts w:ascii="Times New Roman" w:hAnsi="Times New Roman" w:cs="Times New Roman" w:eastAsia="Times New Roman"/>
                <w:b w:val="0"/>
                <w:sz w:val="18"/>
                <w:u w:val="none"/>
              </w:rPr>
              <w:t>М.П.</w:t>
            </w:r>
          </w:p>
        </w:tc>
      </w:tr>
    </w:tbl>
    <w:sectPr w:rsidR="00FC693F" w:rsidRPr="0006063C" w:rsidSect="00034616">
      <w:pgSz w:w="11906" w:h="16838"/>
      <w:pgMar w:top="1134" w:right="851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cs="Times New Roman" w:eastAsia="Times New Roman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