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{{client_pronoun}} в дальнейшем «Заказчик», {{client_acting}} на основании свидетельства о государственной регистрации.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{{client_full_name}}{{client_name_in_parens}}, именуемое в дальнейшем «Заказчик», в лице {{client_director_position_short}} {{client_director}}, действующего на основании Устава.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{% if has_carrier_kpp %}КПП {{carrier_kpp}}, {% endif %}{{carrier_ogrn_label}} {{carrier_ogrn}}, в лице {{carrier_director_position}} {{carrier_director}}, действующего на основании {{carrier_basis}}, именуемое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44A6B891" w:rsidR="00F909B9" w:rsidRPr="00B17C99" w:rsidRDefault="00DD7920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5BA949AB" w:rsidR="000C77A2" w:rsidRDefault="00DD7920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}})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has_carrier_actual_address %}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{{carrier_actual_address}}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</cp:coreProperties>
</file>