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普通编号正文，不应成为章节。</w:t>
      </w:r>
    </w:p>
    <w:p>
      <w:pPr>
        <w:pStyle w:val="Heading1"/>
      </w:pPr>
      <w:r>
        <w:t>1 项目概述</w:t>
      </w:r>
    </w:p>
    <w:p>
      <w:r>
        <w:t>本项目为测试工程。</w:t>
      </w:r>
      <w:r>
        <w:rPr>
          <w:b/>
        </w:rPr>
        <w:t>设计压力为 1.6 MPa。</w:t>
      </w:r>
      <w:r>
        <w:rPr>
          <w:i/>
        </w:rPr>
        <w:t>应设置独立泄压设施。</w:t>
      </w:r>
    </w:p>
    <w:p>
      <w:pPr>
        <w:pStyle w:val="BoldBody"/>
      </w:pPr>
      <w:r>
        <w:t>继承加粗，</w:t>
      </w:r>
      <w:r>
        <w:rPr>
          <w:b w:val="0"/>
        </w:rPr>
        <w:t>此处明确取消粗体。</w:t>
      </w:r>
    </w:p>
    <w:p>
      <w:r>
        <w:t>相同内容也必须具有不同的块 ID。</w:t>
      </w:r>
    </w:p>
    <w:p>
      <w:r>
        <w:t>相同内容也必须具有不同的块 ID。</w:t>
      </w:r>
    </w:p>
    <w:p>
      <w:pPr>
        <w:pStyle w:val="Heading2"/>
      </w:pPr>
      <w:r>
        <w:t>1.1 设计依据</w:t>
      </w:r>
    </w:p>
    <w:p>
      <w:r>
        <w:t>执行现行标准，保留技术数据与原始编号。</w:t>
      </w:r>
    </w:p>
    <w:p>
      <w:pPr>
        <w:pStyle w:val="ListNumber"/>
      </w:pPr>
      <w:r>
        <w:t>检查设备位号</w:t>
      </w:r>
    </w:p>
    <w:p>
      <w:pPr>
        <w:pStyle w:val="ListNumber"/>
      </w:pPr>
      <w:r>
        <w:t>检查设计参数</w:t>
      </w:r>
    </w:p>
    <w:p>
      <w:pPr>
        <w:pStyle w:val="ListBullet"/>
      </w:pPr>
      <w:r>
        <w:t>记录核验结果</w:t>
      </w:r>
    </w:p>
    <w:p>
      <w:pPr>
        <w:pStyle w:val="EngineeringSubheading"/>
      </w:pPr>
      <w:r>
        <w:t>1.1.1 安全设施清单</w:t>
      </w:r>
    </w:p>
    <w:p>
      <w:pPr>
        <w:pStyle w:val="Caption"/>
      </w:pPr>
      <w:r>
        <w:t>表 1 安全设施与设定值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设施类别</w:t>
            </w:r>
          </w:p>
        </w:tc>
        <w:tc>
          <w:tcPr>
            <w:tcW w:type="dxa" w:w="3024"/>
          </w:tcPr>
          <w:p>
            <w:r>
              <w:t>设备位号</w:t>
            </w:r>
          </w:p>
        </w:tc>
        <w:tc>
          <w:tcPr>
            <w:tcW w:type="dxa" w:w="3024"/>
          </w:tcPr>
          <w:p>
            <w:r>
              <w:t>设定值</w:t>
            </w:r>
          </w:p>
        </w:tc>
      </w:tr>
      <w:tr>
        <w:tc>
          <w:tcPr>
            <w:tcW w:type="dxa" w:w="3024"/>
            <w:vMerge w:val="restart"/>
          </w:tcPr>
          <w:p>
            <w:r>
              <w:t>泄压系统</w:t>
            </w:r>
          </w:p>
          <w:p>
            <w:r/>
          </w:p>
        </w:tc>
        <w:tc>
          <w:tcPr>
            <w:tcW w:type="dxa" w:w="3024"/>
          </w:tcPr>
          <w:p>
            <w:r>
              <w:t>PSV-101</w:t>
            </w:r>
          </w:p>
        </w:tc>
        <w:tc>
          <w:tcPr>
            <w:tcW w:type="dxa" w:w="3024"/>
          </w:tcPr>
          <w:p>
            <w:r>
              <w:t>1.6 MPa</w:t>
            </w:r>
          </w:p>
        </w:tc>
      </w:tr>
      <w:tr>
        <w:tc>
          <w:tcPr>
            <w:tcW w:type="dxa" w:w="3024"/>
            <w:vMerge/>
          </w:tcPr>
          <w:p/>
        </w:tc>
        <w:tc>
          <w:tcPr>
            <w:tcW w:type="dxa" w:w="3024"/>
          </w:tcPr>
          <w:p>
            <w:r>
              <w:t>PSV-102</w:t>
            </w:r>
          </w:p>
        </w:tc>
        <w:tc>
          <w:tcPr>
            <w:tcW w:type="dxa" w:w="3024"/>
          </w:tcPr>
          <w:p>
            <w:r>
              <w:t>1.5 MPa</w:t>
            </w:r>
          </w:p>
        </w:tc>
      </w:tr>
      <w:tr>
        <w:tc>
          <w:tcPr>
            <w:tcW w:type="dxa" w:w="6048"/>
            <w:gridSpan w:val="2"/>
          </w:tcPr>
          <w:p>
            <w:r>
              <w:t>联锁说明</w:t>
            </w:r>
          </w:p>
          <w:p>
            <w:r/>
          </w:p>
          <w:p>
            <w:r>
              <w:t>禁止省略该说明。</w:t>
            </w:r>
          </w:p>
        </w:tc>
        <w:tc>
          <w:tcPr>
            <w:tcW w:type="dxa" w:w="3024"/>
          </w:tcPr>
          <w:p>
            <w:r>
              <w:t>独立设置</w:t>
            </w:r>
          </w:p>
        </w:tc>
      </w:tr>
    </w:tbl>
    <w:p>
      <w:pPr>
        <w:pStyle w:val="Caption"/>
      </w:pPr>
      <w:r>
        <w:t>图 1 安全设施示意</w:t>
      </w:r>
    </w:p>
    <w:p>
      <w:r>
        <w:drawing>
          <wp:inline xmlns:a="http://schemas.openxmlformats.org/drawingml/2006/main" xmlns:pic="http://schemas.openxmlformats.org/drawingml/2006/picture">
            <wp:extent cx="4572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02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685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numPr>
          <w:ilvl w:val="0"/>
          <w:numId w:val="77"/>
        </w:numPr>
      </w:pPr>
      <w:r>
        <w:t>应急保障</w:t>
      </w:r>
    </w:p>
    <w:p>
      <w:r>
        <w:t>必须保留完整工程说明。</w:t>
      </w:r>
    </w:p>
    <w:p>
      <w:pPr>
        <w:pStyle w:val="Heading1"/>
        <w:numPr>
          <w:ilvl w:val="0"/>
          <w:numId w:val="77"/>
        </w:numPr>
      </w:pPr>
      <w:r>
        <w:t>运行管理</w:t>
      </w:r>
    </w:p>
    <w:p>
      <w:r>
        <w:t>关闭后重新打开，数据应完整恢复。</w:t>
      </w:r>
    </w:p>
    <w:sectPr w:rsidR="00FC693F" w:rsidRPr="0006063C" w:rsidSect="00034616">
      <w:pgSz w:w="11906" w:h="16838"/>
      <w:pgMar w:top="1417" w:right="124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7">
    <w:lvl w:ilvl="0">
      <w:start w:val="7"/>
      <w:numFmt w:val="decimal"/>
      <w:lvlText w:val="%1"/>
    </w:lvl>
  </w:abstract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Calibri" w:hAnsi="Calibri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ineeringSubheading">
    <w:name w:val="EngineeringSubheading"/>
    <w:basedOn w:val="Heading3"/>
  </w:style>
  <w:style w:type="paragraph" w:customStyle="1" w:styleId="BoldBody">
    <w:name w:val="BoldBody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