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3FE" w:rsidRDefault="005B03FE" w:rsidP="005B03FE">
      <w:pPr>
        <w:rPr>
          <w:rFonts w:ascii="Calibri" w:hAnsi="Calibri" w:cs="Calibri"/>
        </w:rPr>
      </w:pPr>
      <w:r>
        <w:rPr>
          <w:rFonts w:ascii="Calibri" w:hAnsi="Calibri" w:cs="Calibri"/>
          <w:color w:val="1F497D"/>
        </w:rPr>
        <w:t>One more – can you check this statement against the new IPC data?  (on page 56 of the document, in the SI)</w:t>
      </w:r>
    </w:p>
    <w:p w:rsidR="005B03FE" w:rsidRDefault="005B03FE" w:rsidP="005B03FE">
      <w:pPr>
        <w:rPr>
          <w:rFonts w:ascii="Calibri" w:hAnsi="Calibri" w:cs="Calibri"/>
        </w:rPr>
      </w:pPr>
      <w:r>
        <w:rPr>
          <w:rFonts w:ascii="Garamond" w:hAnsi="Garamond" w:cs="Calibri"/>
          <w:sz w:val="24"/>
          <w:szCs w:val="24"/>
        </w:rPr>
        <w:t xml:space="preserve">Nearly </w:t>
      </w:r>
      <w:r>
        <w:rPr>
          <w:rFonts w:ascii="Garamond" w:hAnsi="Garamond" w:cs="Calibri"/>
          <w:sz w:val="24"/>
          <w:szCs w:val="24"/>
          <w:highlight w:val="yellow"/>
        </w:rPr>
        <w:t>77% of Malawi’s IPC assessments between 2009 and 2016 were classified as phase 1, or “minimal.” Slightly over one-fifth (21%) were assessed at phase 2, “stressed,” and only 3% were phase 3, “cris</w:t>
      </w:r>
      <w:r>
        <w:rPr>
          <w:rFonts w:ascii="Garamond" w:hAnsi="Garamond" w:cs="Calibri"/>
          <w:sz w:val="24"/>
          <w:szCs w:val="24"/>
        </w:rPr>
        <w:t xml:space="preserve">is.” The periods of greatest phase 3 food insecurity occurred in </w:t>
      </w:r>
      <w:r>
        <w:rPr>
          <w:rFonts w:ascii="Garamond" w:hAnsi="Garamond" w:cs="Calibri"/>
          <w:sz w:val="24"/>
          <w:szCs w:val="24"/>
          <w:highlight w:val="yellow"/>
        </w:rPr>
        <w:t>2012 (11% of assessments for that year), and 2015 (6% of assessments for that year).</w:t>
      </w:r>
    </w:p>
    <w:p w:rsidR="004F4BFC" w:rsidRDefault="004F4BFC"/>
    <w:p w:rsidR="00B43CE2" w:rsidRDefault="00B43CE2" w:rsidP="00B43CE2">
      <w:r>
        <w:t xml:space="preserve">Should </w:t>
      </w:r>
      <w:proofErr w:type="gramStart"/>
      <w:r>
        <w:t>be :</w:t>
      </w:r>
      <w:proofErr w:type="gramEnd"/>
    </w:p>
    <w:p w:rsidR="00B43CE2" w:rsidRDefault="00B43CE2" w:rsidP="00B43CE2"/>
    <w:p w:rsidR="00B43CE2" w:rsidRDefault="00B43CE2" w:rsidP="00B43CE2">
      <w:pPr>
        <w:rPr>
          <w:rFonts w:ascii="Calibri" w:hAnsi="Calibri" w:cs="Calibri"/>
        </w:rPr>
      </w:pPr>
      <w:r>
        <w:rPr>
          <w:rFonts w:ascii="Garamond" w:hAnsi="Garamond" w:cs="Calibri"/>
          <w:sz w:val="24"/>
          <w:szCs w:val="24"/>
        </w:rPr>
        <w:t xml:space="preserve">Nearly </w:t>
      </w:r>
      <w:r w:rsidRPr="00F1055D">
        <w:rPr>
          <w:rFonts w:ascii="Garamond" w:hAnsi="Garamond" w:cs="Calibri"/>
          <w:sz w:val="24"/>
          <w:szCs w:val="24"/>
          <w:highlight w:val="cyan"/>
        </w:rPr>
        <w:t xml:space="preserve">78% of Malawi’s IPC assessments between 2009 and 2016 were classified as phase 1, or “minimal.” </w:t>
      </w:r>
      <w:r>
        <w:rPr>
          <w:rFonts w:ascii="Garamond" w:hAnsi="Garamond" w:cs="Calibri"/>
          <w:sz w:val="24"/>
          <w:szCs w:val="24"/>
          <w:highlight w:val="cyan"/>
        </w:rPr>
        <w:t xml:space="preserve">About </w:t>
      </w:r>
      <w:r w:rsidRPr="00F1055D">
        <w:rPr>
          <w:rFonts w:ascii="Garamond" w:hAnsi="Garamond" w:cs="Calibri"/>
          <w:sz w:val="24"/>
          <w:szCs w:val="24"/>
          <w:highlight w:val="cyan"/>
        </w:rPr>
        <w:t>one-fifth (</w:t>
      </w:r>
      <w:r>
        <w:rPr>
          <w:rFonts w:ascii="Garamond" w:hAnsi="Garamond" w:cs="Calibri"/>
          <w:sz w:val="24"/>
          <w:szCs w:val="24"/>
          <w:highlight w:val="cyan"/>
        </w:rPr>
        <w:t>19</w:t>
      </w:r>
      <w:r w:rsidRPr="00F1055D">
        <w:rPr>
          <w:rFonts w:ascii="Garamond" w:hAnsi="Garamond" w:cs="Calibri"/>
          <w:sz w:val="24"/>
          <w:szCs w:val="24"/>
          <w:highlight w:val="cyan"/>
        </w:rPr>
        <w:t xml:space="preserve">%) were assessed at phase 2, “stressed,” and only </w:t>
      </w:r>
      <w:r>
        <w:rPr>
          <w:rFonts w:ascii="Garamond" w:hAnsi="Garamond" w:cs="Calibri"/>
          <w:sz w:val="24"/>
          <w:szCs w:val="24"/>
          <w:highlight w:val="cyan"/>
        </w:rPr>
        <w:t>2.5</w:t>
      </w:r>
      <w:r w:rsidRPr="00F1055D">
        <w:rPr>
          <w:rFonts w:ascii="Garamond" w:hAnsi="Garamond" w:cs="Calibri"/>
          <w:sz w:val="24"/>
          <w:szCs w:val="24"/>
          <w:highlight w:val="cyan"/>
        </w:rPr>
        <w:t>% were phase 3, “crisis.” The periods of greatest phase 3 food insecurity occurred in 201</w:t>
      </w:r>
      <w:r>
        <w:rPr>
          <w:rFonts w:ascii="Garamond" w:hAnsi="Garamond" w:cs="Calibri"/>
          <w:sz w:val="24"/>
          <w:szCs w:val="24"/>
          <w:highlight w:val="cyan"/>
        </w:rPr>
        <w:t>5</w:t>
      </w:r>
      <w:r w:rsidRPr="00F1055D">
        <w:rPr>
          <w:rFonts w:ascii="Garamond" w:hAnsi="Garamond" w:cs="Calibri"/>
          <w:sz w:val="24"/>
          <w:szCs w:val="24"/>
          <w:highlight w:val="cyan"/>
        </w:rPr>
        <w:t xml:space="preserve"> (</w:t>
      </w:r>
      <w:r>
        <w:rPr>
          <w:rFonts w:ascii="Garamond" w:hAnsi="Garamond" w:cs="Calibri"/>
          <w:sz w:val="24"/>
          <w:szCs w:val="24"/>
          <w:highlight w:val="cyan"/>
        </w:rPr>
        <w:t>7</w:t>
      </w:r>
      <w:r w:rsidRPr="00F1055D">
        <w:rPr>
          <w:rFonts w:ascii="Garamond" w:hAnsi="Garamond" w:cs="Calibri"/>
          <w:sz w:val="24"/>
          <w:szCs w:val="24"/>
          <w:highlight w:val="cyan"/>
        </w:rPr>
        <w:t>% of assessments for that year)</w:t>
      </w:r>
      <w:r>
        <w:rPr>
          <w:rFonts w:ascii="Garamond" w:hAnsi="Garamond" w:cs="Calibri"/>
          <w:sz w:val="24"/>
          <w:szCs w:val="24"/>
          <w:highlight w:val="cyan"/>
        </w:rPr>
        <w:t xml:space="preserve"> and 13 IPC zones were evaluated as in crisis at the end of year </w:t>
      </w:r>
      <w:proofErr w:type="gramStart"/>
      <w:r>
        <w:rPr>
          <w:rFonts w:ascii="Garamond" w:hAnsi="Garamond" w:cs="Calibri"/>
          <w:sz w:val="24"/>
          <w:szCs w:val="24"/>
          <w:highlight w:val="cyan"/>
        </w:rPr>
        <w:t xml:space="preserve">2015 </w:t>
      </w:r>
      <w:r w:rsidRPr="00F1055D">
        <w:rPr>
          <w:rFonts w:ascii="Garamond" w:hAnsi="Garamond" w:cs="Calibri"/>
          <w:sz w:val="24"/>
          <w:szCs w:val="24"/>
          <w:highlight w:val="cyan"/>
        </w:rPr>
        <w:t>.</w:t>
      </w:r>
      <w:proofErr w:type="gramEnd"/>
    </w:p>
    <w:p w:rsidR="00B43CE2" w:rsidRDefault="00B43CE2"/>
    <w:p w:rsidR="007D6D8D" w:rsidRDefault="007D6D8D"/>
    <w:p w:rsidR="007D6D8D" w:rsidRDefault="008640E1">
      <w:r>
        <w:t>B</w:t>
      </w:r>
      <w:r>
        <w:rPr>
          <w:rFonts w:hint="eastAsia"/>
        </w:rPr>
        <w:t>or</w:t>
      </w:r>
      <w:r>
        <w:t xml:space="preserve">ing details below: </w:t>
      </w:r>
    </w:p>
    <w:p w:rsidR="005B03FE" w:rsidRDefault="005B03FE"/>
    <w:p w:rsidR="00346116" w:rsidRPr="007375ED" w:rsidRDefault="00460EAC" w:rsidP="007375ED">
      <w:pPr>
        <w:pStyle w:val="ListParagraph"/>
        <w:numPr>
          <w:ilvl w:val="0"/>
          <w:numId w:val="2"/>
        </w:numPr>
        <w:rPr>
          <w:rFonts w:ascii="Times New Roman" w:hAnsi="Times New Roman" w:cs="Times New Roman"/>
          <w:sz w:val="24"/>
          <w:szCs w:val="24"/>
        </w:rPr>
      </w:pPr>
      <w:r w:rsidRPr="007375ED">
        <w:rPr>
          <w:rFonts w:ascii="Times New Roman" w:hAnsi="Times New Roman" w:cs="Times New Roman"/>
          <w:sz w:val="24"/>
          <w:szCs w:val="24"/>
        </w:rPr>
        <w:t>Table of IPC value</w:t>
      </w:r>
      <w:r w:rsidR="007375ED">
        <w:rPr>
          <w:rFonts w:ascii="Times New Roman" w:hAnsi="Times New Roman" w:cs="Times New Roman"/>
          <w:sz w:val="24"/>
          <w:szCs w:val="24"/>
        </w:rPr>
        <w:t xml:space="preserve"> total </w:t>
      </w:r>
    </w:p>
    <w:p w:rsidR="009F157B" w:rsidRPr="00A772FA" w:rsidRDefault="009F157B" w:rsidP="009F1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2" w:lineRule="atLeast"/>
        <w:rPr>
          <w:rFonts w:ascii="Times New Roman" w:eastAsia="Times New Roman" w:hAnsi="Times New Roman" w:cs="Times New Roman"/>
          <w:color w:val="000000"/>
          <w:sz w:val="24"/>
          <w:szCs w:val="24"/>
          <w:bdr w:val="none" w:sz="0" w:space="0" w:color="auto" w:frame="1"/>
        </w:rPr>
      </w:pPr>
      <w:r w:rsidRPr="00A772FA">
        <w:rPr>
          <w:rFonts w:ascii="Times New Roman" w:eastAsia="Times New Roman" w:hAnsi="Times New Roman" w:cs="Times New Roman"/>
          <w:color w:val="000000"/>
          <w:sz w:val="24"/>
          <w:szCs w:val="24"/>
          <w:bdr w:val="none" w:sz="0" w:space="0" w:color="auto" w:frame="1"/>
        </w:rPr>
        <w:t xml:space="preserve">  1    </w:t>
      </w:r>
      <w:r w:rsidR="00EE3679">
        <w:rPr>
          <w:rFonts w:ascii="Times New Roman" w:eastAsia="Times New Roman" w:hAnsi="Times New Roman" w:cs="Times New Roman"/>
          <w:color w:val="000000"/>
          <w:sz w:val="24"/>
          <w:szCs w:val="24"/>
          <w:bdr w:val="none" w:sz="0" w:space="0" w:color="auto" w:frame="1"/>
        </w:rPr>
        <w:t xml:space="preserve">     </w:t>
      </w:r>
      <w:r w:rsidRPr="00A772FA">
        <w:rPr>
          <w:rFonts w:ascii="Times New Roman" w:eastAsia="Times New Roman" w:hAnsi="Times New Roman" w:cs="Times New Roman"/>
          <w:color w:val="000000"/>
          <w:sz w:val="24"/>
          <w:szCs w:val="24"/>
          <w:bdr w:val="none" w:sz="0" w:space="0" w:color="auto" w:frame="1"/>
        </w:rPr>
        <w:t xml:space="preserve">2    3   </w:t>
      </w:r>
      <w:r w:rsidR="00EE3679">
        <w:rPr>
          <w:rFonts w:ascii="Times New Roman" w:eastAsia="Times New Roman" w:hAnsi="Times New Roman" w:cs="Times New Roman"/>
          <w:color w:val="000000"/>
          <w:sz w:val="24"/>
          <w:szCs w:val="24"/>
          <w:bdr w:val="none" w:sz="0" w:space="0" w:color="auto" w:frame="1"/>
        </w:rPr>
        <w:t xml:space="preserve">  </w:t>
      </w:r>
      <w:r w:rsidRPr="00A772FA">
        <w:rPr>
          <w:rFonts w:ascii="Times New Roman" w:eastAsia="Times New Roman" w:hAnsi="Times New Roman" w:cs="Times New Roman"/>
          <w:color w:val="000000"/>
          <w:sz w:val="24"/>
          <w:szCs w:val="24"/>
          <w:bdr w:val="none" w:sz="0" w:space="0" w:color="auto" w:frame="1"/>
        </w:rPr>
        <w:t xml:space="preserve">88   99 </w:t>
      </w:r>
    </w:p>
    <w:p w:rsidR="009F157B" w:rsidRPr="009F157B" w:rsidRDefault="009F157B" w:rsidP="009F1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2" w:lineRule="atLeast"/>
        <w:rPr>
          <w:rFonts w:ascii="Times New Roman" w:eastAsia="Times New Roman" w:hAnsi="Times New Roman" w:cs="Times New Roman"/>
          <w:color w:val="000000"/>
          <w:sz w:val="24"/>
          <w:szCs w:val="24"/>
        </w:rPr>
      </w:pPr>
      <w:proofErr w:type="gramStart"/>
      <w:r w:rsidRPr="00A772FA">
        <w:rPr>
          <w:rFonts w:ascii="Times New Roman" w:eastAsia="Times New Roman" w:hAnsi="Times New Roman" w:cs="Times New Roman"/>
          <w:color w:val="000000"/>
          <w:sz w:val="24"/>
          <w:szCs w:val="24"/>
          <w:bdr w:val="none" w:sz="0" w:space="0" w:color="auto" w:frame="1"/>
        </w:rPr>
        <w:t>1232  301</w:t>
      </w:r>
      <w:proofErr w:type="gramEnd"/>
      <w:r w:rsidRPr="00A772FA">
        <w:rPr>
          <w:rFonts w:ascii="Times New Roman" w:eastAsia="Times New Roman" w:hAnsi="Times New Roman" w:cs="Times New Roman"/>
          <w:color w:val="000000"/>
          <w:sz w:val="24"/>
          <w:szCs w:val="24"/>
          <w:bdr w:val="none" w:sz="0" w:space="0" w:color="auto" w:frame="1"/>
        </w:rPr>
        <w:t xml:space="preserve">   40   27   20 </w:t>
      </w:r>
    </w:p>
    <w:p w:rsidR="00B05B21" w:rsidRPr="00A772FA" w:rsidRDefault="00B05B21">
      <w:pPr>
        <w:rPr>
          <w:rFonts w:ascii="Times New Roman" w:hAnsi="Times New Roman" w:cs="Times New Roman"/>
          <w:sz w:val="24"/>
          <w:szCs w:val="24"/>
        </w:rPr>
      </w:pPr>
    </w:p>
    <w:p w:rsidR="00DD5DEE" w:rsidRPr="00A772FA" w:rsidRDefault="00233B39" w:rsidP="00DD5DEE">
      <w:pPr>
        <w:pStyle w:val="HTMLPreformatted"/>
        <w:shd w:val="clear" w:color="auto" w:fill="FFFFFF"/>
        <w:wordWrap w:val="0"/>
        <w:spacing w:line="232" w:lineRule="atLeast"/>
        <w:rPr>
          <w:rStyle w:val="gnkrckgcgsb"/>
          <w:rFonts w:ascii="Times New Roman" w:hAnsi="Times New Roman" w:cs="Times New Roman"/>
          <w:color w:val="000000"/>
          <w:sz w:val="24"/>
          <w:szCs w:val="24"/>
          <w:bdr w:val="none" w:sz="0" w:space="0" w:color="auto" w:frame="1"/>
        </w:rPr>
      </w:pPr>
      <w:r w:rsidRPr="00A772FA">
        <w:rPr>
          <w:rFonts w:ascii="Times New Roman" w:hAnsi="Times New Roman" w:cs="Times New Roman"/>
          <w:sz w:val="24"/>
          <w:szCs w:val="24"/>
        </w:rPr>
        <w:t xml:space="preserve">Portion of Phase 1: </w:t>
      </w:r>
      <w:r w:rsidR="009F157B" w:rsidRPr="00A772FA">
        <w:rPr>
          <w:rFonts w:ascii="Times New Roman" w:hAnsi="Times New Roman" w:cs="Times New Roman"/>
          <w:sz w:val="24"/>
          <w:szCs w:val="24"/>
        </w:rPr>
        <w:t>1232</w:t>
      </w:r>
      <w:proofErr w:type="gramStart"/>
      <w:r w:rsidR="009F157B" w:rsidRPr="00A772FA">
        <w:rPr>
          <w:rFonts w:ascii="Times New Roman" w:hAnsi="Times New Roman" w:cs="Times New Roman"/>
          <w:sz w:val="24"/>
          <w:szCs w:val="24"/>
        </w:rPr>
        <w:t>/(</w:t>
      </w:r>
      <w:proofErr w:type="gramEnd"/>
      <w:r w:rsidR="009F157B" w:rsidRPr="00A772FA">
        <w:rPr>
          <w:rFonts w:ascii="Times New Roman" w:hAnsi="Times New Roman" w:cs="Times New Roman"/>
          <w:sz w:val="24"/>
          <w:szCs w:val="24"/>
        </w:rPr>
        <w:t xml:space="preserve">1232 + 301 +40) = </w:t>
      </w:r>
      <w:r w:rsidR="00DD5DEE" w:rsidRPr="00A772FA">
        <w:rPr>
          <w:rStyle w:val="gnkrckgcgsb"/>
          <w:rFonts w:ascii="Times New Roman" w:hAnsi="Times New Roman" w:cs="Times New Roman"/>
          <w:color w:val="000000"/>
          <w:sz w:val="24"/>
          <w:szCs w:val="24"/>
          <w:bdr w:val="none" w:sz="0" w:space="0" w:color="auto" w:frame="1"/>
        </w:rPr>
        <w:t>0.7832</w:t>
      </w:r>
    </w:p>
    <w:p w:rsidR="0079371A" w:rsidRPr="00A772FA" w:rsidRDefault="0079371A" w:rsidP="0079371A">
      <w:pPr>
        <w:pStyle w:val="HTMLPreformatted"/>
        <w:shd w:val="clear" w:color="auto" w:fill="FFFFFF"/>
        <w:wordWrap w:val="0"/>
        <w:spacing w:line="232" w:lineRule="atLeast"/>
        <w:rPr>
          <w:rStyle w:val="gnkrckgcgsb"/>
          <w:rFonts w:ascii="Times New Roman" w:hAnsi="Times New Roman" w:cs="Times New Roman"/>
          <w:color w:val="000000"/>
          <w:sz w:val="24"/>
          <w:szCs w:val="24"/>
          <w:bdr w:val="none" w:sz="0" w:space="0" w:color="auto" w:frame="1"/>
        </w:rPr>
      </w:pPr>
      <w:r w:rsidRPr="00A772FA">
        <w:rPr>
          <w:rFonts w:ascii="Times New Roman" w:hAnsi="Times New Roman" w:cs="Times New Roman"/>
          <w:sz w:val="24"/>
          <w:szCs w:val="24"/>
        </w:rPr>
        <w:t xml:space="preserve">Portion of Phase </w:t>
      </w:r>
      <w:r w:rsidR="00C85D90" w:rsidRPr="00A772FA">
        <w:rPr>
          <w:rFonts w:ascii="Times New Roman" w:hAnsi="Times New Roman" w:cs="Times New Roman"/>
          <w:sz w:val="24"/>
          <w:szCs w:val="24"/>
        </w:rPr>
        <w:t>2</w:t>
      </w:r>
      <w:r w:rsidRPr="00A772FA">
        <w:rPr>
          <w:rFonts w:ascii="Times New Roman" w:hAnsi="Times New Roman" w:cs="Times New Roman"/>
          <w:sz w:val="24"/>
          <w:szCs w:val="24"/>
        </w:rPr>
        <w:t xml:space="preserve">: </w:t>
      </w:r>
      <w:r w:rsidR="00C85D90" w:rsidRPr="00A772FA">
        <w:rPr>
          <w:rFonts w:ascii="Times New Roman" w:hAnsi="Times New Roman" w:cs="Times New Roman"/>
          <w:sz w:val="24"/>
          <w:szCs w:val="24"/>
        </w:rPr>
        <w:t>301</w:t>
      </w:r>
      <w:proofErr w:type="gramStart"/>
      <w:r w:rsidRPr="00A772FA">
        <w:rPr>
          <w:rFonts w:ascii="Times New Roman" w:hAnsi="Times New Roman" w:cs="Times New Roman"/>
          <w:sz w:val="24"/>
          <w:szCs w:val="24"/>
        </w:rPr>
        <w:t>/(</w:t>
      </w:r>
      <w:proofErr w:type="gramEnd"/>
      <w:r w:rsidRPr="00A772FA">
        <w:rPr>
          <w:rFonts w:ascii="Times New Roman" w:hAnsi="Times New Roman" w:cs="Times New Roman"/>
          <w:sz w:val="24"/>
          <w:szCs w:val="24"/>
        </w:rPr>
        <w:t xml:space="preserve">1232 + 301 +40) = </w:t>
      </w:r>
      <w:r w:rsidR="00C85D90" w:rsidRPr="00A772FA">
        <w:rPr>
          <w:rStyle w:val="gnkrckgcgsb"/>
          <w:rFonts w:ascii="Times New Roman" w:hAnsi="Times New Roman" w:cs="Times New Roman"/>
          <w:color w:val="000000"/>
          <w:sz w:val="24"/>
          <w:szCs w:val="24"/>
          <w:bdr w:val="none" w:sz="0" w:space="0" w:color="auto" w:frame="1"/>
        </w:rPr>
        <w:t>0.1913</w:t>
      </w:r>
    </w:p>
    <w:p w:rsidR="00F64B58" w:rsidRPr="00A772FA" w:rsidRDefault="00F64B58" w:rsidP="00F64B58">
      <w:pPr>
        <w:pStyle w:val="HTMLPreformatted"/>
        <w:shd w:val="clear" w:color="auto" w:fill="FFFFFF"/>
        <w:wordWrap w:val="0"/>
        <w:spacing w:line="232" w:lineRule="atLeast"/>
        <w:rPr>
          <w:rFonts w:ascii="Times New Roman" w:hAnsi="Times New Roman" w:cs="Times New Roman"/>
          <w:color w:val="000000"/>
          <w:sz w:val="24"/>
          <w:szCs w:val="24"/>
        </w:rPr>
      </w:pPr>
      <w:r w:rsidRPr="00A772FA">
        <w:rPr>
          <w:rFonts w:ascii="Times New Roman" w:hAnsi="Times New Roman" w:cs="Times New Roman"/>
          <w:sz w:val="24"/>
          <w:szCs w:val="24"/>
        </w:rPr>
        <w:t xml:space="preserve">Portion of Phase </w:t>
      </w:r>
      <w:r w:rsidRPr="00A772FA">
        <w:rPr>
          <w:rFonts w:ascii="Times New Roman" w:hAnsi="Times New Roman" w:cs="Times New Roman"/>
          <w:sz w:val="24"/>
          <w:szCs w:val="24"/>
        </w:rPr>
        <w:t>3</w:t>
      </w:r>
      <w:r w:rsidRPr="00A772FA">
        <w:rPr>
          <w:rFonts w:ascii="Times New Roman" w:hAnsi="Times New Roman" w:cs="Times New Roman"/>
          <w:sz w:val="24"/>
          <w:szCs w:val="24"/>
        </w:rPr>
        <w:t xml:space="preserve">: </w:t>
      </w:r>
      <w:r w:rsidRPr="00A772FA">
        <w:rPr>
          <w:rFonts w:ascii="Times New Roman" w:hAnsi="Times New Roman" w:cs="Times New Roman"/>
          <w:sz w:val="24"/>
          <w:szCs w:val="24"/>
        </w:rPr>
        <w:t>40</w:t>
      </w:r>
      <w:proofErr w:type="gramStart"/>
      <w:r w:rsidRPr="00A772FA">
        <w:rPr>
          <w:rFonts w:ascii="Times New Roman" w:hAnsi="Times New Roman" w:cs="Times New Roman"/>
          <w:sz w:val="24"/>
          <w:szCs w:val="24"/>
        </w:rPr>
        <w:t>/(</w:t>
      </w:r>
      <w:proofErr w:type="gramEnd"/>
      <w:r w:rsidRPr="00A772FA">
        <w:rPr>
          <w:rFonts w:ascii="Times New Roman" w:hAnsi="Times New Roman" w:cs="Times New Roman"/>
          <w:sz w:val="24"/>
          <w:szCs w:val="24"/>
        </w:rPr>
        <w:t xml:space="preserve">1232 + 301 +40) = </w:t>
      </w:r>
      <w:r w:rsidRPr="00A772FA">
        <w:rPr>
          <w:rStyle w:val="gnkrckgcgsb"/>
          <w:rFonts w:ascii="Times New Roman" w:hAnsi="Times New Roman" w:cs="Times New Roman"/>
          <w:color w:val="000000"/>
          <w:sz w:val="24"/>
          <w:szCs w:val="24"/>
          <w:bdr w:val="none" w:sz="0" w:space="0" w:color="auto" w:frame="1"/>
        </w:rPr>
        <w:t>0.025</w:t>
      </w:r>
    </w:p>
    <w:p w:rsidR="00F64B58" w:rsidRPr="00A772FA" w:rsidRDefault="00F64B58" w:rsidP="00F64B58">
      <w:pPr>
        <w:pStyle w:val="HTMLPreformatted"/>
        <w:shd w:val="clear" w:color="auto" w:fill="FFFFFF"/>
        <w:wordWrap w:val="0"/>
        <w:spacing w:line="232" w:lineRule="atLeast"/>
        <w:rPr>
          <w:rStyle w:val="gnkrckgcgsb"/>
          <w:rFonts w:ascii="Times New Roman" w:hAnsi="Times New Roman" w:cs="Times New Roman"/>
          <w:color w:val="000000"/>
          <w:sz w:val="24"/>
          <w:szCs w:val="24"/>
          <w:bdr w:val="none" w:sz="0" w:space="0" w:color="auto" w:frame="1"/>
        </w:rPr>
      </w:pPr>
    </w:p>
    <w:p w:rsidR="006A7848" w:rsidRPr="007375ED" w:rsidRDefault="006A7848" w:rsidP="007375ED">
      <w:pPr>
        <w:pStyle w:val="ListParagraph"/>
        <w:numPr>
          <w:ilvl w:val="0"/>
          <w:numId w:val="2"/>
        </w:numPr>
        <w:rPr>
          <w:rFonts w:ascii="Times New Roman" w:hAnsi="Times New Roman" w:cs="Times New Roman"/>
          <w:sz w:val="24"/>
          <w:szCs w:val="24"/>
        </w:rPr>
      </w:pPr>
      <w:r w:rsidRPr="007375ED">
        <w:rPr>
          <w:rFonts w:ascii="Times New Roman" w:hAnsi="Times New Roman" w:cs="Times New Roman"/>
          <w:sz w:val="24"/>
          <w:szCs w:val="24"/>
        </w:rPr>
        <w:t>Table of</w:t>
      </w:r>
      <w:r w:rsidRPr="007375ED">
        <w:rPr>
          <w:rFonts w:ascii="Times New Roman" w:hAnsi="Times New Roman" w:cs="Times New Roman"/>
          <w:sz w:val="24"/>
          <w:szCs w:val="24"/>
        </w:rPr>
        <w:t xml:space="preserve"> year with</w:t>
      </w:r>
      <w:r w:rsidRPr="007375ED">
        <w:rPr>
          <w:rFonts w:ascii="Times New Roman" w:hAnsi="Times New Roman" w:cs="Times New Roman"/>
          <w:sz w:val="24"/>
          <w:szCs w:val="24"/>
        </w:rPr>
        <w:t xml:space="preserve"> IPC value</w:t>
      </w:r>
      <w:r w:rsidRPr="007375ED">
        <w:rPr>
          <w:rFonts w:ascii="Times New Roman" w:hAnsi="Times New Roman" w:cs="Times New Roman"/>
          <w:sz w:val="24"/>
          <w:szCs w:val="24"/>
        </w:rPr>
        <w:t>==3</w:t>
      </w:r>
      <w:r w:rsidR="00BC3E3C" w:rsidRPr="007375ED">
        <w:rPr>
          <w:rFonts w:ascii="Times New Roman" w:hAnsi="Times New Roman" w:cs="Times New Roman"/>
          <w:sz w:val="24"/>
          <w:szCs w:val="24"/>
        </w:rPr>
        <w:t xml:space="preserve"> </w:t>
      </w:r>
      <w:r w:rsidR="007375ED">
        <w:rPr>
          <w:rFonts w:ascii="Times New Roman" w:hAnsi="Times New Roman" w:cs="Times New Roman"/>
          <w:sz w:val="24"/>
          <w:szCs w:val="24"/>
        </w:rPr>
        <w:t xml:space="preserve">occurrence </w:t>
      </w:r>
      <w:r w:rsidR="00BC3E3C" w:rsidRPr="007375ED">
        <w:rPr>
          <w:rFonts w:ascii="Times New Roman" w:hAnsi="Times New Roman" w:cs="Times New Roman"/>
          <w:sz w:val="24"/>
          <w:szCs w:val="24"/>
        </w:rPr>
        <w:t>(</w:t>
      </w:r>
      <w:proofErr w:type="spellStart"/>
      <w:r w:rsidR="00BC3E3C" w:rsidRPr="007375ED">
        <w:rPr>
          <w:rFonts w:ascii="Times New Roman" w:hAnsi="Times New Roman" w:cs="Times New Roman"/>
          <w:sz w:val="24"/>
          <w:szCs w:val="24"/>
        </w:rPr>
        <w:t>ipczone</w:t>
      </w:r>
      <w:proofErr w:type="spellEnd"/>
      <w:r w:rsidR="00BC3E3C" w:rsidRPr="007375ED">
        <w:rPr>
          <w:rFonts w:ascii="Times New Roman" w:hAnsi="Times New Roman" w:cs="Times New Roman"/>
          <w:sz w:val="24"/>
          <w:szCs w:val="24"/>
        </w:rPr>
        <w:t xml:space="preserve"> and quarter)</w:t>
      </w:r>
    </w:p>
    <w:p w:rsidR="00B25FC0" w:rsidRPr="00A772FA" w:rsidRDefault="00B25FC0" w:rsidP="0041302B">
      <w:pPr>
        <w:pStyle w:val="HTMLPreformatted"/>
        <w:shd w:val="clear" w:color="auto" w:fill="FFFFFF"/>
        <w:wordWrap w:val="0"/>
        <w:spacing w:line="232" w:lineRule="atLeast"/>
        <w:rPr>
          <w:rStyle w:val="gnkrckgcgsb"/>
          <w:rFonts w:ascii="Times New Roman" w:hAnsi="Times New Roman" w:cs="Times New Roman"/>
          <w:color w:val="000000"/>
          <w:sz w:val="24"/>
          <w:szCs w:val="24"/>
          <w:bdr w:val="none" w:sz="0" w:space="0" w:color="auto" w:frame="1"/>
        </w:rPr>
      </w:pPr>
    </w:p>
    <w:p w:rsidR="0041302B" w:rsidRPr="00A772FA" w:rsidRDefault="0041302B" w:rsidP="0041302B">
      <w:pPr>
        <w:pStyle w:val="HTMLPreformatted"/>
        <w:shd w:val="clear" w:color="auto" w:fill="FFFFFF"/>
        <w:wordWrap w:val="0"/>
        <w:spacing w:line="232" w:lineRule="atLeast"/>
        <w:rPr>
          <w:rStyle w:val="gnkrckgcgsb"/>
          <w:rFonts w:ascii="Times New Roman" w:hAnsi="Times New Roman" w:cs="Times New Roman"/>
          <w:color w:val="000000"/>
          <w:sz w:val="24"/>
          <w:szCs w:val="24"/>
          <w:bdr w:val="none" w:sz="0" w:space="0" w:color="auto" w:frame="1"/>
        </w:rPr>
      </w:pPr>
      <w:r w:rsidRPr="00A772FA">
        <w:rPr>
          <w:rStyle w:val="gnkrckgcgsb"/>
          <w:rFonts w:ascii="Times New Roman" w:hAnsi="Times New Roman" w:cs="Times New Roman"/>
          <w:color w:val="000000"/>
          <w:sz w:val="24"/>
          <w:szCs w:val="24"/>
          <w:bdr w:val="none" w:sz="0" w:space="0" w:color="auto" w:frame="1"/>
        </w:rPr>
        <w:t xml:space="preserve">2010 2012 2013 2014 2015 2016 </w:t>
      </w:r>
    </w:p>
    <w:p w:rsidR="0041302B" w:rsidRPr="00A772FA" w:rsidRDefault="0041302B" w:rsidP="0041302B">
      <w:pPr>
        <w:pStyle w:val="HTMLPreformatted"/>
        <w:shd w:val="clear" w:color="auto" w:fill="FFFFFF"/>
        <w:wordWrap w:val="0"/>
        <w:spacing w:line="232" w:lineRule="atLeast"/>
        <w:rPr>
          <w:rFonts w:ascii="Times New Roman" w:hAnsi="Times New Roman" w:cs="Times New Roman"/>
          <w:color w:val="000000"/>
          <w:sz w:val="24"/>
          <w:szCs w:val="24"/>
        </w:rPr>
      </w:pPr>
      <w:r w:rsidRPr="00A772FA">
        <w:rPr>
          <w:rStyle w:val="gnkrckgcgsb"/>
          <w:rFonts w:ascii="Times New Roman" w:hAnsi="Times New Roman" w:cs="Times New Roman"/>
          <w:color w:val="000000"/>
          <w:sz w:val="24"/>
          <w:szCs w:val="24"/>
          <w:bdr w:val="none" w:sz="0" w:space="0" w:color="auto" w:frame="1"/>
        </w:rPr>
        <w:t xml:space="preserve">   3   </w:t>
      </w:r>
      <w:r w:rsidR="007375ED">
        <w:rPr>
          <w:rStyle w:val="gnkrckgcgsb"/>
          <w:rFonts w:ascii="Times New Roman" w:hAnsi="Times New Roman" w:cs="Times New Roman"/>
          <w:color w:val="000000"/>
          <w:sz w:val="24"/>
          <w:szCs w:val="24"/>
          <w:bdr w:val="none" w:sz="0" w:space="0" w:color="auto" w:frame="1"/>
        </w:rPr>
        <w:t xml:space="preserve">    </w:t>
      </w:r>
      <w:r w:rsidRPr="00A772FA">
        <w:rPr>
          <w:rStyle w:val="gnkrckgcgsb"/>
          <w:rFonts w:ascii="Times New Roman" w:hAnsi="Times New Roman" w:cs="Times New Roman"/>
          <w:color w:val="000000"/>
          <w:sz w:val="24"/>
          <w:szCs w:val="24"/>
          <w:bdr w:val="none" w:sz="0" w:space="0" w:color="auto" w:frame="1"/>
        </w:rPr>
        <w:t xml:space="preserve"> 6    1    </w:t>
      </w:r>
      <w:r w:rsidR="007375ED">
        <w:rPr>
          <w:rStyle w:val="gnkrckgcgsb"/>
          <w:rFonts w:ascii="Times New Roman" w:hAnsi="Times New Roman" w:cs="Times New Roman"/>
          <w:color w:val="000000"/>
          <w:sz w:val="24"/>
          <w:szCs w:val="24"/>
          <w:bdr w:val="none" w:sz="0" w:space="0" w:color="auto" w:frame="1"/>
        </w:rPr>
        <w:t xml:space="preserve">     </w:t>
      </w:r>
      <w:r w:rsidRPr="00A772FA">
        <w:rPr>
          <w:rStyle w:val="gnkrckgcgsb"/>
          <w:rFonts w:ascii="Times New Roman" w:hAnsi="Times New Roman" w:cs="Times New Roman"/>
          <w:color w:val="000000"/>
          <w:sz w:val="24"/>
          <w:szCs w:val="24"/>
          <w:bdr w:val="none" w:sz="0" w:space="0" w:color="auto" w:frame="1"/>
        </w:rPr>
        <w:t xml:space="preserve">5   17   </w:t>
      </w:r>
      <w:r w:rsidR="007375ED">
        <w:rPr>
          <w:rStyle w:val="gnkrckgcgsb"/>
          <w:rFonts w:ascii="Times New Roman" w:hAnsi="Times New Roman" w:cs="Times New Roman"/>
          <w:color w:val="000000"/>
          <w:sz w:val="24"/>
          <w:szCs w:val="24"/>
          <w:bdr w:val="none" w:sz="0" w:space="0" w:color="auto" w:frame="1"/>
        </w:rPr>
        <w:t xml:space="preserve">  </w:t>
      </w:r>
      <w:r w:rsidRPr="00A772FA">
        <w:rPr>
          <w:rStyle w:val="gnkrckgcgsb"/>
          <w:rFonts w:ascii="Times New Roman" w:hAnsi="Times New Roman" w:cs="Times New Roman"/>
          <w:color w:val="000000"/>
          <w:sz w:val="24"/>
          <w:szCs w:val="24"/>
          <w:bdr w:val="none" w:sz="0" w:space="0" w:color="auto" w:frame="1"/>
        </w:rPr>
        <w:t xml:space="preserve"> 8 </w:t>
      </w:r>
    </w:p>
    <w:p w:rsidR="00BC3E3C" w:rsidRPr="00A772FA" w:rsidRDefault="00BC3E3C" w:rsidP="0048485C">
      <w:pPr>
        <w:rPr>
          <w:rFonts w:ascii="Times New Roman" w:hAnsi="Times New Roman" w:cs="Times New Roman"/>
          <w:sz w:val="24"/>
          <w:szCs w:val="24"/>
        </w:rPr>
      </w:pPr>
    </w:p>
    <w:p w:rsidR="00342DE3" w:rsidRPr="006D14C0" w:rsidRDefault="00BC3E3C" w:rsidP="006D14C0">
      <w:pPr>
        <w:pStyle w:val="ListParagraph"/>
        <w:numPr>
          <w:ilvl w:val="0"/>
          <w:numId w:val="2"/>
        </w:numPr>
        <w:rPr>
          <w:rFonts w:ascii="Times New Roman" w:hAnsi="Times New Roman" w:cs="Times New Roman"/>
          <w:sz w:val="24"/>
          <w:szCs w:val="24"/>
        </w:rPr>
      </w:pPr>
      <w:r w:rsidRPr="006D14C0">
        <w:rPr>
          <w:rFonts w:ascii="Times New Roman" w:hAnsi="Times New Roman" w:cs="Times New Roman"/>
          <w:sz w:val="24"/>
          <w:szCs w:val="24"/>
        </w:rPr>
        <w:t>Periods</w:t>
      </w:r>
      <w:r w:rsidR="00075874">
        <w:rPr>
          <w:rFonts w:ascii="Times New Roman" w:hAnsi="Times New Roman" w:cs="Times New Roman"/>
          <w:sz w:val="24"/>
          <w:szCs w:val="24"/>
        </w:rPr>
        <w:t xml:space="preserve">/number of </w:t>
      </w:r>
      <w:proofErr w:type="spellStart"/>
      <w:r w:rsidR="00075874">
        <w:rPr>
          <w:rFonts w:ascii="Times New Roman" w:hAnsi="Times New Roman" w:cs="Times New Roman"/>
          <w:sz w:val="24"/>
          <w:szCs w:val="24"/>
        </w:rPr>
        <w:t>ipc</w:t>
      </w:r>
      <w:proofErr w:type="spellEnd"/>
      <w:r w:rsidR="008C5960">
        <w:rPr>
          <w:rFonts w:ascii="Times New Roman" w:hAnsi="Times New Roman" w:cs="Times New Roman"/>
          <w:sz w:val="24"/>
          <w:szCs w:val="24"/>
        </w:rPr>
        <w:t xml:space="preserve"> </w:t>
      </w:r>
      <w:r w:rsidR="00075874">
        <w:rPr>
          <w:rFonts w:ascii="Times New Roman" w:hAnsi="Times New Roman" w:cs="Times New Roman"/>
          <w:sz w:val="24"/>
          <w:szCs w:val="24"/>
        </w:rPr>
        <w:t>zones</w:t>
      </w:r>
      <w:r w:rsidRPr="006D14C0">
        <w:rPr>
          <w:rFonts w:ascii="Times New Roman" w:hAnsi="Times New Roman" w:cs="Times New Roman"/>
          <w:sz w:val="24"/>
          <w:szCs w:val="24"/>
        </w:rPr>
        <w:t xml:space="preserve"> that ha</w:t>
      </w:r>
      <w:r w:rsidR="00075874">
        <w:rPr>
          <w:rFonts w:ascii="Times New Roman" w:hAnsi="Times New Roman" w:cs="Times New Roman"/>
          <w:sz w:val="24"/>
          <w:szCs w:val="24"/>
        </w:rPr>
        <w:t>ve</w:t>
      </w:r>
      <w:r w:rsidRPr="006D14C0">
        <w:rPr>
          <w:rFonts w:ascii="Times New Roman" w:hAnsi="Times New Roman" w:cs="Times New Roman"/>
          <w:sz w:val="24"/>
          <w:szCs w:val="24"/>
        </w:rPr>
        <w:t xml:space="preserve"> phase 3, </w:t>
      </w:r>
    </w:p>
    <w:p w:rsidR="00BC3E3C" w:rsidRPr="00A772FA" w:rsidRDefault="00BC3E3C" w:rsidP="0048485C">
      <w:pPr>
        <w:rPr>
          <w:rFonts w:ascii="Times New Roman" w:hAnsi="Times New Roman" w:cs="Times New Roman"/>
          <w:sz w:val="24"/>
          <w:szCs w:val="24"/>
        </w:rPr>
      </w:pP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year = 2010</w:t>
      </w: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value</w:t>
      </w: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key           3</w:t>
      </w: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20100701  3</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20121001  0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20130101  0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20141001  0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20150101  0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20151001  0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20160601  0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year = 2012</w:t>
      </w: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value</w:t>
      </w: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key           3</w:t>
      </w: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20100701  0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CS</w:t>
      </w:r>
      <w:proofErr w:type="gramStart"/>
      <w:r>
        <w:rPr>
          <w:rStyle w:val="gnkrckgcgsb"/>
          <w:rFonts w:ascii="Lucida Console" w:hAnsi="Lucida Console"/>
          <w:color w:val="000000"/>
          <w:bdr w:val="none" w:sz="0" w:space="0" w:color="auto" w:frame="1"/>
        </w:rPr>
        <w:t>20121001  6</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20130101  0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20141001  0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20150101  0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20151001  0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20160601  0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year = 2013</w:t>
      </w: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value</w:t>
      </w: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key           3</w:t>
      </w: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20100701  0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20121001  0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20130101  1</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20141001  0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20150101  0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20151001  0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20160601  0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year = 2014</w:t>
      </w: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value</w:t>
      </w: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key           3</w:t>
      </w: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20100701  0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20121001  0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20130101  0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20141001  5</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20150101  0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20151001  0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20160601  0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year = 2015</w:t>
      </w: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value</w:t>
      </w: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key           3</w:t>
      </w: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20100701  0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20121001  0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20130101  0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20141001  0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20150101  4</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CS20151001 13</w:t>
      </w: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20160601  0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year = 2016</w:t>
      </w: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value</w:t>
      </w: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key           3</w:t>
      </w:r>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20100701  0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20121001  0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20130101  0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20141001  0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20150101  0</w:t>
      </w:r>
      <w:proofErr w:type="gramEnd"/>
    </w:p>
    <w:p w:rsidR="00D02EDD" w:rsidRDefault="00D02EDD" w:rsidP="00D02EDD">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20151001  0</w:t>
      </w:r>
      <w:proofErr w:type="gramEnd"/>
    </w:p>
    <w:p w:rsidR="00D02EDD" w:rsidRDefault="00D02EDD" w:rsidP="00D02EDD">
      <w:pPr>
        <w:pStyle w:val="HTMLPreformatted"/>
        <w:shd w:val="clear" w:color="auto" w:fill="FFFFFF"/>
        <w:wordWrap w:val="0"/>
        <w:spacing w:line="232" w:lineRule="atLeast"/>
        <w:rPr>
          <w:rFonts w:ascii="Lucida Console" w:hAnsi="Lucida Console"/>
          <w:color w:val="000000"/>
        </w:rPr>
      </w:pPr>
      <w:r>
        <w:rPr>
          <w:rStyle w:val="gnkrckgcgsb"/>
          <w:rFonts w:ascii="Lucida Console" w:hAnsi="Lucida Console"/>
          <w:color w:val="000000"/>
          <w:bdr w:val="none" w:sz="0" w:space="0" w:color="auto" w:frame="1"/>
        </w:rPr>
        <w:t xml:space="preserve">  CS</w:t>
      </w:r>
      <w:proofErr w:type="gramStart"/>
      <w:r>
        <w:rPr>
          <w:rStyle w:val="gnkrckgcgsb"/>
          <w:rFonts w:ascii="Lucida Console" w:hAnsi="Lucida Console"/>
          <w:color w:val="000000"/>
          <w:bdr w:val="none" w:sz="0" w:space="0" w:color="auto" w:frame="1"/>
        </w:rPr>
        <w:t>20160601  8</w:t>
      </w:r>
      <w:proofErr w:type="gramEnd"/>
    </w:p>
    <w:p w:rsidR="00BC3E3C" w:rsidRPr="00A772FA" w:rsidRDefault="00BC3E3C" w:rsidP="00BC3E3C">
      <w:pPr>
        <w:pStyle w:val="HTMLPreformatted"/>
        <w:shd w:val="clear" w:color="auto" w:fill="FFFFFF"/>
        <w:wordWrap w:val="0"/>
        <w:spacing w:line="232" w:lineRule="atLeast"/>
        <w:rPr>
          <w:rFonts w:ascii="Times New Roman" w:hAnsi="Times New Roman" w:cs="Times New Roman"/>
          <w:color w:val="000000"/>
          <w:sz w:val="24"/>
          <w:szCs w:val="24"/>
        </w:rPr>
      </w:pPr>
    </w:p>
    <w:p w:rsidR="00BC3E3C" w:rsidRPr="00A772FA" w:rsidRDefault="00BC7DDE" w:rsidP="00BC3E3C">
      <w:pPr>
        <w:pStyle w:val="HTMLPreformatted"/>
        <w:shd w:val="clear" w:color="auto" w:fill="FFFFFF"/>
        <w:wordWrap w:val="0"/>
        <w:spacing w:line="232" w:lineRule="atLeast"/>
        <w:rPr>
          <w:rFonts w:ascii="Times New Roman" w:hAnsi="Times New Roman" w:cs="Times New Roman"/>
          <w:color w:val="000000"/>
          <w:sz w:val="24"/>
          <w:szCs w:val="24"/>
        </w:rPr>
      </w:pPr>
      <w:r w:rsidRPr="00A772FA">
        <w:rPr>
          <w:rFonts w:ascii="Times New Roman" w:hAnsi="Times New Roman" w:cs="Times New Roman"/>
          <w:sz w:val="24"/>
          <w:szCs w:val="24"/>
        </w:rPr>
        <w:lastRenderedPageBreak/>
        <w:t>so,</w:t>
      </w:r>
      <w:r w:rsidR="00BC3E3C" w:rsidRPr="00A772FA">
        <w:rPr>
          <w:rFonts w:ascii="Times New Roman" w:hAnsi="Times New Roman" w:cs="Times New Roman"/>
          <w:sz w:val="24"/>
          <w:szCs w:val="24"/>
        </w:rPr>
        <w:t xml:space="preserve"> </w:t>
      </w:r>
      <w:r w:rsidR="0033104D">
        <w:rPr>
          <w:rFonts w:ascii="Times New Roman" w:hAnsi="Times New Roman" w:cs="Times New Roman"/>
          <w:sz w:val="24"/>
          <w:szCs w:val="24"/>
        </w:rPr>
        <w:t xml:space="preserve">6 </w:t>
      </w:r>
      <w:proofErr w:type="gramStart"/>
      <w:r w:rsidR="0033104D">
        <w:rPr>
          <w:rFonts w:ascii="Times New Roman" w:hAnsi="Times New Roman" w:cs="Times New Roman"/>
          <w:sz w:val="24"/>
          <w:szCs w:val="24"/>
        </w:rPr>
        <w:t>month</w:t>
      </w:r>
      <w:proofErr w:type="gramEnd"/>
      <w:r w:rsidR="0033104D">
        <w:rPr>
          <w:rFonts w:ascii="Times New Roman" w:hAnsi="Times New Roman" w:cs="Times New Roman"/>
          <w:sz w:val="24"/>
          <w:szCs w:val="24"/>
        </w:rPr>
        <w:t xml:space="preserve"> for</w:t>
      </w:r>
      <w:r w:rsidR="00BC3E3C" w:rsidRPr="00A772FA">
        <w:rPr>
          <w:rFonts w:ascii="Times New Roman" w:hAnsi="Times New Roman" w:cs="Times New Roman"/>
          <w:sz w:val="24"/>
          <w:szCs w:val="24"/>
        </w:rPr>
        <w:t xml:space="preserve"> 2015 and 3</w:t>
      </w:r>
      <w:r w:rsidR="00BC3E3C" w:rsidRPr="00A772FA">
        <w:rPr>
          <w:rFonts w:ascii="Times New Roman" w:hAnsi="Times New Roman" w:cs="Times New Roman"/>
          <w:sz w:val="24"/>
          <w:szCs w:val="24"/>
        </w:rPr>
        <w:t xml:space="preserve"> </w:t>
      </w:r>
      <w:r w:rsidR="00BC3E3C" w:rsidRPr="00A772FA">
        <w:rPr>
          <w:rFonts w:ascii="Times New Roman" w:hAnsi="Times New Roman" w:cs="Times New Roman"/>
          <w:sz w:val="24"/>
          <w:szCs w:val="24"/>
        </w:rPr>
        <w:t>month for 2010</w:t>
      </w:r>
      <w:r w:rsidR="00BC3E3C" w:rsidRPr="00A772FA">
        <w:rPr>
          <w:rFonts w:ascii="Times New Roman" w:hAnsi="Times New Roman" w:cs="Times New Roman"/>
          <w:sz w:val="24"/>
          <w:szCs w:val="24"/>
        </w:rPr>
        <w:t>/2012/2013/2014/2016</w:t>
      </w:r>
    </w:p>
    <w:p w:rsidR="00BC3E3C" w:rsidRPr="00A772FA" w:rsidRDefault="00BC3E3C" w:rsidP="0048485C">
      <w:pPr>
        <w:rPr>
          <w:rFonts w:ascii="Times New Roman" w:hAnsi="Times New Roman" w:cs="Times New Roman"/>
          <w:sz w:val="24"/>
          <w:szCs w:val="24"/>
        </w:rPr>
      </w:pPr>
    </w:p>
    <w:p w:rsidR="002C78AD" w:rsidRPr="006D14C0" w:rsidRDefault="006D14C0" w:rsidP="006D14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002C78AD" w:rsidRPr="006D14C0">
        <w:rPr>
          <w:rFonts w:ascii="Times New Roman" w:hAnsi="Times New Roman" w:cs="Times New Roman"/>
          <w:sz w:val="24"/>
          <w:szCs w:val="24"/>
        </w:rPr>
        <w:t>able of</w:t>
      </w:r>
      <w:r w:rsidR="00270B87" w:rsidRPr="006D14C0">
        <w:rPr>
          <w:rFonts w:ascii="Times New Roman" w:hAnsi="Times New Roman" w:cs="Times New Roman"/>
          <w:sz w:val="24"/>
          <w:szCs w:val="24"/>
        </w:rPr>
        <w:t xml:space="preserve"> all the</w:t>
      </w:r>
      <w:r w:rsidR="002C78AD" w:rsidRPr="006D14C0">
        <w:rPr>
          <w:rFonts w:ascii="Times New Roman" w:hAnsi="Times New Roman" w:cs="Times New Roman"/>
          <w:sz w:val="24"/>
          <w:szCs w:val="24"/>
        </w:rPr>
        <w:t xml:space="preserve"> IPC values in 2015 </w:t>
      </w:r>
    </w:p>
    <w:p w:rsidR="00CE3783" w:rsidRPr="00A772FA" w:rsidRDefault="00CE3783" w:rsidP="00CE3783">
      <w:pPr>
        <w:pStyle w:val="HTMLPreformatted"/>
        <w:shd w:val="clear" w:color="auto" w:fill="FFFFFF"/>
        <w:wordWrap w:val="0"/>
        <w:spacing w:line="232" w:lineRule="atLeast"/>
        <w:rPr>
          <w:rStyle w:val="gnkrckgcgsb"/>
          <w:rFonts w:ascii="Times New Roman" w:hAnsi="Times New Roman" w:cs="Times New Roman"/>
          <w:color w:val="000000"/>
          <w:sz w:val="24"/>
          <w:szCs w:val="24"/>
          <w:bdr w:val="none" w:sz="0" w:space="0" w:color="auto" w:frame="1"/>
        </w:rPr>
      </w:pPr>
      <w:r w:rsidRPr="00A772FA">
        <w:rPr>
          <w:rStyle w:val="gnkrckgcgsb"/>
          <w:rFonts w:ascii="Times New Roman" w:hAnsi="Times New Roman" w:cs="Times New Roman"/>
          <w:color w:val="000000"/>
          <w:sz w:val="24"/>
          <w:szCs w:val="24"/>
          <w:bdr w:val="none" w:sz="0" w:space="0" w:color="auto" w:frame="1"/>
        </w:rPr>
        <w:t xml:space="preserve">1   2   </w:t>
      </w:r>
      <w:proofErr w:type="gramStart"/>
      <w:r w:rsidRPr="00A772FA">
        <w:rPr>
          <w:rStyle w:val="gnkrckgcgsb"/>
          <w:rFonts w:ascii="Times New Roman" w:hAnsi="Times New Roman" w:cs="Times New Roman"/>
          <w:color w:val="000000"/>
          <w:sz w:val="24"/>
          <w:szCs w:val="24"/>
          <w:bdr w:val="none" w:sz="0" w:space="0" w:color="auto" w:frame="1"/>
        </w:rPr>
        <w:t>3  88</w:t>
      </w:r>
      <w:proofErr w:type="gramEnd"/>
      <w:r w:rsidRPr="00A772FA">
        <w:rPr>
          <w:rStyle w:val="gnkrckgcgsb"/>
          <w:rFonts w:ascii="Times New Roman" w:hAnsi="Times New Roman" w:cs="Times New Roman"/>
          <w:color w:val="000000"/>
          <w:sz w:val="24"/>
          <w:szCs w:val="24"/>
          <w:bdr w:val="none" w:sz="0" w:space="0" w:color="auto" w:frame="1"/>
        </w:rPr>
        <w:t xml:space="preserve"> </w:t>
      </w:r>
    </w:p>
    <w:p w:rsidR="00CE3783" w:rsidRPr="00A772FA" w:rsidRDefault="00CE3783" w:rsidP="00CE3783">
      <w:pPr>
        <w:pStyle w:val="HTMLPreformatted"/>
        <w:shd w:val="clear" w:color="auto" w:fill="FFFFFF"/>
        <w:wordWrap w:val="0"/>
        <w:spacing w:line="232" w:lineRule="atLeast"/>
        <w:rPr>
          <w:rFonts w:ascii="Times New Roman" w:hAnsi="Times New Roman" w:cs="Times New Roman"/>
          <w:color w:val="000000"/>
          <w:sz w:val="24"/>
          <w:szCs w:val="24"/>
        </w:rPr>
      </w:pPr>
      <w:proofErr w:type="gramStart"/>
      <w:r w:rsidRPr="00A772FA">
        <w:rPr>
          <w:rStyle w:val="gnkrckgcgsb"/>
          <w:rFonts w:ascii="Times New Roman" w:hAnsi="Times New Roman" w:cs="Times New Roman"/>
          <w:color w:val="000000"/>
          <w:sz w:val="24"/>
          <w:szCs w:val="24"/>
          <w:bdr w:val="none" w:sz="0" w:space="0" w:color="auto" w:frame="1"/>
        </w:rPr>
        <w:t>144  75</w:t>
      </w:r>
      <w:proofErr w:type="gramEnd"/>
      <w:r w:rsidRPr="00A772FA">
        <w:rPr>
          <w:rStyle w:val="gnkrckgcgsb"/>
          <w:rFonts w:ascii="Times New Roman" w:hAnsi="Times New Roman" w:cs="Times New Roman"/>
          <w:color w:val="000000"/>
          <w:sz w:val="24"/>
          <w:szCs w:val="24"/>
          <w:bdr w:val="none" w:sz="0" w:space="0" w:color="auto" w:frame="1"/>
        </w:rPr>
        <w:t xml:space="preserve">  17   4 </w:t>
      </w:r>
    </w:p>
    <w:p w:rsidR="00CE3783" w:rsidRPr="00A772FA" w:rsidRDefault="00CE3783" w:rsidP="0048485C">
      <w:pPr>
        <w:rPr>
          <w:rFonts w:ascii="Times New Roman" w:hAnsi="Times New Roman" w:cs="Times New Roman"/>
          <w:sz w:val="24"/>
          <w:szCs w:val="24"/>
        </w:rPr>
      </w:pPr>
    </w:p>
    <w:p w:rsidR="00F61F32" w:rsidRPr="00A772FA" w:rsidRDefault="008742B2" w:rsidP="0048485C">
      <w:pPr>
        <w:rPr>
          <w:rFonts w:ascii="Times New Roman" w:hAnsi="Times New Roman" w:cs="Times New Roman"/>
          <w:sz w:val="24"/>
          <w:szCs w:val="24"/>
        </w:rPr>
      </w:pPr>
      <w:r w:rsidRPr="00A772FA">
        <w:rPr>
          <w:rFonts w:ascii="Times New Roman" w:hAnsi="Times New Roman" w:cs="Times New Roman"/>
          <w:sz w:val="24"/>
          <w:szCs w:val="24"/>
        </w:rPr>
        <w:t>Portion of Phase 3</w:t>
      </w:r>
      <w:r w:rsidR="00DF342A" w:rsidRPr="00A772FA">
        <w:rPr>
          <w:rFonts w:ascii="Times New Roman" w:hAnsi="Times New Roman" w:cs="Times New Roman"/>
          <w:sz w:val="24"/>
          <w:szCs w:val="24"/>
        </w:rPr>
        <w:t xml:space="preserve"> in </w:t>
      </w:r>
      <w:proofErr w:type="gramStart"/>
      <w:r w:rsidR="00DF342A" w:rsidRPr="00A772FA">
        <w:rPr>
          <w:rFonts w:ascii="Times New Roman" w:hAnsi="Times New Roman" w:cs="Times New Roman"/>
          <w:sz w:val="24"/>
          <w:szCs w:val="24"/>
        </w:rPr>
        <w:t xml:space="preserve">2015 </w:t>
      </w:r>
      <w:r w:rsidRPr="00A772FA">
        <w:rPr>
          <w:rFonts w:ascii="Times New Roman" w:hAnsi="Times New Roman" w:cs="Times New Roman"/>
          <w:sz w:val="24"/>
          <w:szCs w:val="24"/>
        </w:rPr>
        <w:t>:</w:t>
      </w:r>
      <w:proofErr w:type="gramEnd"/>
      <w:r w:rsidRPr="00A772FA">
        <w:rPr>
          <w:rFonts w:ascii="Times New Roman" w:hAnsi="Times New Roman" w:cs="Times New Roman"/>
          <w:sz w:val="24"/>
          <w:szCs w:val="24"/>
        </w:rPr>
        <w:t xml:space="preserve"> </w:t>
      </w:r>
      <w:r w:rsidRPr="00A772FA">
        <w:rPr>
          <w:rFonts w:ascii="Times New Roman" w:hAnsi="Times New Roman" w:cs="Times New Roman"/>
          <w:sz w:val="24"/>
          <w:szCs w:val="24"/>
        </w:rPr>
        <w:t xml:space="preserve"> </w:t>
      </w:r>
      <w:r w:rsidR="00F61F32" w:rsidRPr="00A772FA">
        <w:rPr>
          <w:rFonts w:ascii="Times New Roman" w:hAnsi="Times New Roman" w:cs="Times New Roman"/>
          <w:sz w:val="24"/>
          <w:szCs w:val="24"/>
        </w:rPr>
        <w:t>17/(144 + 75 + 17   )</w:t>
      </w:r>
      <w:r w:rsidR="00855CDA" w:rsidRPr="00A772FA">
        <w:rPr>
          <w:rFonts w:ascii="Times New Roman" w:hAnsi="Times New Roman" w:cs="Times New Roman"/>
          <w:sz w:val="24"/>
          <w:szCs w:val="24"/>
        </w:rPr>
        <w:t xml:space="preserve"> = 0.072</w:t>
      </w:r>
    </w:p>
    <w:p w:rsidR="00DF342A" w:rsidRPr="00A772FA" w:rsidRDefault="00DF342A" w:rsidP="0048485C">
      <w:pPr>
        <w:rPr>
          <w:rFonts w:ascii="Times New Roman" w:hAnsi="Times New Roman" w:cs="Times New Roman"/>
          <w:sz w:val="24"/>
          <w:szCs w:val="24"/>
        </w:rPr>
      </w:pPr>
    </w:p>
    <w:p w:rsidR="00DF342A" w:rsidRPr="0050225E" w:rsidRDefault="0050225E" w:rsidP="005022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00DF342A" w:rsidRPr="0050225E">
        <w:rPr>
          <w:rFonts w:ascii="Times New Roman" w:hAnsi="Times New Roman" w:cs="Times New Roman"/>
          <w:sz w:val="24"/>
          <w:szCs w:val="24"/>
        </w:rPr>
        <w:t>able of all the IPC values in 201</w:t>
      </w:r>
      <w:r w:rsidR="00DF342A" w:rsidRPr="0050225E">
        <w:rPr>
          <w:rFonts w:ascii="Times New Roman" w:hAnsi="Times New Roman" w:cs="Times New Roman"/>
          <w:sz w:val="24"/>
          <w:szCs w:val="24"/>
        </w:rPr>
        <w:t>2</w:t>
      </w:r>
    </w:p>
    <w:p w:rsidR="00DF342A" w:rsidRPr="00A772FA" w:rsidRDefault="00DF342A" w:rsidP="00DF342A">
      <w:pPr>
        <w:pStyle w:val="HTMLPreformatted"/>
        <w:shd w:val="clear" w:color="auto" w:fill="FFFFFF"/>
        <w:wordWrap w:val="0"/>
        <w:spacing w:line="232" w:lineRule="atLeast"/>
        <w:rPr>
          <w:rStyle w:val="gnkrckgcgsb"/>
          <w:rFonts w:ascii="Times New Roman" w:hAnsi="Times New Roman" w:cs="Times New Roman"/>
          <w:color w:val="000000"/>
          <w:sz w:val="24"/>
          <w:szCs w:val="24"/>
          <w:bdr w:val="none" w:sz="0" w:space="0" w:color="auto" w:frame="1"/>
        </w:rPr>
      </w:pPr>
      <w:r w:rsidRPr="00A772FA">
        <w:rPr>
          <w:rStyle w:val="gnkrckgcgsb"/>
          <w:rFonts w:ascii="Times New Roman" w:hAnsi="Times New Roman" w:cs="Times New Roman"/>
          <w:color w:val="000000"/>
          <w:sz w:val="24"/>
          <w:szCs w:val="24"/>
          <w:bdr w:val="none" w:sz="0" w:space="0" w:color="auto" w:frame="1"/>
        </w:rPr>
        <w:t xml:space="preserve">1   </w:t>
      </w:r>
      <w:r w:rsidR="00571A17">
        <w:rPr>
          <w:rStyle w:val="gnkrckgcgsb"/>
          <w:rFonts w:ascii="Times New Roman" w:hAnsi="Times New Roman" w:cs="Times New Roman"/>
          <w:color w:val="000000"/>
          <w:sz w:val="24"/>
          <w:szCs w:val="24"/>
          <w:bdr w:val="none" w:sz="0" w:space="0" w:color="auto" w:frame="1"/>
        </w:rPr>
        <w:t xml:space="preserve">   </w:t>
      </w:r>
      <w:r w:rsidRPr="00A772FA">
        <w:rPr>
          <w:rStyle w:val="gnkrckgcgsb"/>
          <w:rFonts w:ascii="Times New Roman" w:hAnsi="Times New Roman" w:cs="Times New Roman"/>
          <w:color w:val="000000"/>
          <w:sz w:val="24"/>
          <w:szCs w:val="24"/>
          <w:bdr w:val="none" w:sz="0" w:space="0" w:color="auto" w:frame="1"/>
        </w:rPr>
        <w:t xml:space="preserve">2   </w:t>
      </w:r>
      <w:r w:rsidR="00CA258A">
        <w:rPr>
          <w:rStyle w:val="gnkrckgcgsb"/>
          <w:rFonts w:ascii="Times New Roman" w:hAnsi="Times New Roman" w:cs="Times New Roman"/>
          <w:color w:val="000000"/>
          <w:sz w:val="24"/>
          <w:szCs w:val="24"/>
          <w:bdr w:val="none" w:sz="0" w:space="0" w:color="auto" w:frame="1"/>
        </w:rPr>
        <w:t xml:space="preserve">    </w:t>
      </w:r>
      <w:proofErr w:type="gramStart"/>
      <w:r w:rsidRPr="00A772FA">
        <w:rPr>
          <w:rStyle w:val="gnkrckgcgsb"/>
          <w:rFonts w:ascii="Times New Roman" w:hAnsi="Times New Roman" w:cs="Times New Roman"/>
          <w:color w:val="000000"/>
          <w:sz w:val="24"/>
          <w:szCs w:val="24"/>
          <w:bdr w:val="none" w:sz="0" w:space="0" w:color="auto" w:frame="1"/>
        </w:rPr>
        <w:t>3  88</w:t>
      </w:r>
      <w:proofErr w:type="gramEnd"/>
      <w:r w:rsidRPr="00A772FA">
        <w:rPr>
          <w:rStyle w:val="gnkrckgcgsb"/>
          <w:rFonts w:ascii="Times New Roman" w:hAnsi="Times New Roman" w:cs="Times New Roman"/>
          <w:color w:val="000000"/>
          <w:sz w:val="24"/>
          <w:szCs w:val="24"/>
          <w:bdr w:val="none" w:sz="0" w:space="0" w:color="auto" w:frame="1"/>
        </w:rPr>
        <w:t xml:space="preserve">  99 </w:t>
      </w:r>
    </w:p>
    <w:p w:rsidR="00DF342A" w:rsidRPr="00A772FA" w:rsidRDefault="00DF342A" w:rsidP="00DF342A">
      <w:pPr>
        <w:pStyle w:val="HTMLPreformatted"/>
        <w:shd w:val="clear" w:color="auto" w:fill="FFFFFF"/>
        <w:wordWrap w:val="0"/>
        <w:spacing w:line="232" w:lineRule="atLeast"/>
        <w:rPr>
          <w:rFonts w:ascii="Times New Roman" w:hAnsi="Times New Roman" w:cs="Times New Roman"/>
          <w:color w:val="000000"/>
          <w:sz w:val="24"/>
          <w:szCs w:val="24"/>
        </w:rPr>
      </w:pPr>
      <w:proofErr w:type="gramStart"/>
      <w:r w:rsidRPr="00A772FA">
        <w:rPr>
          <w:rStyle w:val="gnkrckgcgsb"/>
          <w:rFonts w:ascii="Times New Roman" w:hAnsi="Times New Roman" w:cs="Times New Roman"/>
          <w:color w:val="000000"/>
          <w:sz w:val="24"/>
          <w:szCs w:val="24"/>
          <w:bdr w:val="none" w:sz="0" w:space="0" w:color="auto" w:frame="1"/>
        </w:rPr>
        <w:t>129  38</w:t>
      </w:r>
      <w:proofErr w:type="gramEnd"/>
      <w:r w:rsidRPr="00A772FA">
        <w:rPr>
          <w:rStyle w:val="gnkrckgcgsb"/>
          <w:rFonts w:ascii="Times New Roman" w:hAnsi="Times New Roman" w:cs="Times New Roman"/>
          <w:color w:val="000000"/>
          <w:sz w:val="24"/>
          <w:szCs w:val="24"/>
          <w:bdr w:val="none" w:sz="0" w:space="0" w:color="auto" w:frame="1"/>
        </w:rPr>
        <w:t xml:space="preserve">   6   3   4 </w:t>
      </w:r>
    </w:p>
    <w:p w:rsidR="00DF342A" w:rsidRPr="00A772FA" w:rsidRDefault="00DF342A" w:rsidP="0048485C">
      <w:pPr>
        <w:rPr>
          <w:rFonts w:ascii="Times New Roman" w:hAnsi="Times New Roman" w:cs="Times New Roman"/>
          <w:sz w:val="24"/>
          <w:szCs w:val="24"/>
        </w:rPr>
      </w:pPr>
    </w:p>
    <w:p w:rsidR="00CD6DD1" w:rsidRDefault="00DF342A" w:rsidP="00CD6DD1">
      <w:pPr>
        <w:pStyle w:val="HTMLPreformatted"/>
        <w:shd w:val="clear" w:color="auto" w:fill="FFFFFF"/>
        <w:wordWrap w:val="0"/>
        <w:spacing w:line="232" w:lineRule="atLeast"/>
        <w:rPr>
          <w:rFonts w:ascii="Lucida Console" w:hAnsi="Lucida Console"/>
          <w:color w:val="000000"/>
        </w:rPr>
      </w:pPr>
      <w:r w:rsidRPr="00A772FA">
        <w:rPr>
          <w:rFonts w:ascii="Times New Roman" w:hAnsi="Times New Roman" w:cs="Times New Roman"/>
          <w:sz w:val="24"/>
          <w:szCs w:val="24"/>
        </w:rPr>
        <w:t>Portion of Phase 3</w:t>
      </w:r>
      <w:r w:rsidRPr="00A772FA">
        <w:rPr>
          <w:rFonts w:ascii="Times New Roman" w:hAnsi="Times New Roman" w:cs="Times New Roman"/>
          <w:sz w:val="24"/>
          <w:szCs w:val="24"/>
        </w:rPr>
        <w:t xml:space="preserve"> in </w:t>
      </w:r>
      <w:proofErr w:type="gramStart"/>
      <w:r w:rsidRPr="00A772FA">
        <w:rPr>
          <w:rFonts w:ascii="Times New Roman" w:hAnsi="Times New Roman" w:cs="Times New Roman"/>
          <w:sz w:val="24"/>
          <w:szCs w:val="24"/>
        </w:rPr>
        <w:t xml:space="preserve">2012 </w:t>
      </w:r>
      <w:r w:rsidRPr="00A772FA">
        <w:rPr>
          <w:rFonts w:ascii="Times New Roman" w:hAnsi="Times New Roman" w:cs="Times New Roman"/>
          <w:sz w:val="24"/>
          <w:szCs w:val="24"/>
        </w:rPr>
        <w:t>:</w:t>
      </w:r>
      <w:proofErr w:type="gramEnd"/>
      <w:r w:rsidRPr="00A772FA">
        <w:rPr>
          <w:rFonts w:ascii="Times New Roman" w:hAnsi="Times New Roman" w:cs="Times New Roman"/>
          <w:sz w:val="24"/>
          <w:szCs w:val="24"/>
        </w:rPr>
        <w:t xml:space="preserve">  </w:t>
      </w:r>
      <w:r w:rsidR="00CD6DD1">
        <w:rPr>
          <w:rFonts w:ascii="Times New Roman" w:hAnsi="Times New Roman" w:cs="Times New Roman"/>
          <w:sz w:val="24"/>
          <w:szCs w:val="24"/>
        </w:rPr>
        <w:t>6</w:t>
      </w:r>
      <w:r w:rsidRPr="00A772FA">
        <w:rPr>
          <w:rFonts w:ascii="Times New Roman" w:hAnsi="Times New Roman" w:cs="Times New Roman"/>
          <w:sz w:val="24"/>
          <w:szCs w:val="24"/>
        </w:rPr>
        <w:t>/(1</w:t>
      </w:r>
      <w:r w:rsidR="000D6D64">
        <w:rPr>
          <w:rFonts w:ascii="Times New Roman" w:hAnsi="Times New Roman" w:cs="Times New Roman"/>
          <w:sz w:val="24"/>
          <w:szCs w:val="24"/>
        </w:rPr>
        <w:t>29</w:t>
      </w:r>
      <w:r w:rsidRPr="00A772FA">
        <w:rPr>
          <w:rFonts w:ascii="Times New Roman" w:hAnsi="Times New Roman" w:cs="Times New Roman"/>
          <w:sz w:val="24"/>
          <w:szCs w:val="24"/>
        </w:rPr>
        <w:t xml:space="preserve"> + </w:t>
      </w:r>
      <w:r w:rsidR="000D6D64">
        <w:rPr>
          <w:rFonts w:ascii="Times New Roman" w:hAnsi="Times New Roman" w:cs="Times New Roman"/>
          <w:sz w:val="24"/>
          <w:szCs w:val="24"/>
        </w:rPr>
        <w:t>38</w:t>
      </w:r>
      <w:r w:rsidRPr="00A772FA">
        <w:rPr>
          <w:rFonts w:ascii="Times New Roman" w:hAnsi="Times New Roman" w:cs="Times New Roman"/>
          <w:sz w:val="24"/>
          <w:szCs w:val="24"/>
        </w:rPr>
        <w:t xml:space="preserve"> + </w:t>
      </w:r>
      <w:r w:rsidR="000D6D64">
        <w:rPr>
          <w:rFonts w:ascii="Times New Roman" w:hAnsi="Times New Roman" w:cs="Times New Roman"/>
          <w:sz w:val="24"/>
          <w:szCs w:val="24"/>
        </w:rPr>
        <w:t>6</w:t>
      </w:r>
      <w:r w:rsidRPr="00A772FA">
        <w:rPr>
          <w:rFonts w:ascii="Times New Roman" w:hAnsi="Times New Roman" w:cs="Times New Roman"/>
          <w:sz w:val="24"/>
          <w:szCs w:val="24"/>
        </w:rPr>
        <w:t xml:space="preserve">   ) = </w:t>
      </w:r>
      <w:r w:rsidR="00CD6DD1">
        <w:rPr>
          <w:rStyle w:val="gnkrckgcgsb"/>
          <w:rFonts w:ascii="Lucida Console" w:hAnsi="Lucida Console"/>
          <w:color w:val="000000"/>
          <w:bdr w:val="none" w:sz="0" w:space="0" w:color="auto" w:frame="1"/>
        </w:rPr>
        <w:t>0.034</w:t>
      </w:r>
    </w:p>
    <w:p w:rsidR="00DF342A" w:rsidRPr="00A772FA" w:rsidRDefault="00DF342A" w:rsidP="00DF342A">
      <w:pPr>
        <w:rPr>
          <w:rFonts w:ascii="Times New Roman" w:hAnsi="Times New Roman" w:cs="Times New Roman"/>
          <w:sz w:val="24"/>
          <w:szCs w:val="24"/>
        </w:rPr>
      </w:pPr>
    </w:p>
    <w:p w:rsidR="00C4352F" w:rsidRDefault="00C4352F" w:rsidP="0048485C"/>
    <w:p w:rsidR="009F157B" w:rsidRDefault="009F157B"/>
    <w:p w:rsidR="00B05B21" w:rsidRDefault="00B05B21"/>
    <w:p w:rsidR="005B03FE" w:rsidRDefault="005B03FE" w:rsidP="005B03FE">
      <w:pPr>
        <w:rPr>
          <w:rFonts w:ascii="Calibri" w:hAnsi="Calibri" w:cs="Calibri"/>
          <w:color w:val="1F497D"/>
          <w:lang w:eastAsia="en-US"/>
        </w:rPr>
      </w:pPr>
      <w:r>
        <w:rPr>
          <w:rFonts w:ascii="Calibri" w:hAnsi="Calibri" w:cs="Calibri"/>
          <w:color w:val="1F497D"/>
          <w:lang w:eastAsia="en-US"/>
        </w:rPr>
        <w:t>Hi Yujun – one more thing.  Here’s the paragraph in the text that we need to update.  It’s about figure 3 in the main text – specifically about the amount of over and underprediction rates for each measure (as well as the type I vs II errors).  Do you mind tackling that?</w:t>
      </w:r>
    </w:p>
    <w:p w:rsidR="005B03FE" w:rsidRDefault="005B03FE" w:rsidP="005B03FE">
      <w:pPr>
        <w:rPr>
          <w:rFonts w:ascii="Calibri" w:hAnsi="Calibri" w:cs="Calibri"/>
          <w:color w:val="1F497D"/>
          <w:lang w:eastAsia="en-US"/>
        </w:rPr>
      </w:pPr>
    </w:p>
    <w:p w:rsidR="005B03FE" w:rsidRDefault="005B03FE" w:rsidP="005B03FE">
      <w:pPr>
        <w:spacing w:line="480" w:lineRule="auto"/>
        <w:ind w:left="720"/>
        <w:rPr>
          <w:rFonts w:ascii="Garamond" w:hAnsi="Garamond" w:cs="Calibri"/>
          <w:sz w:val="24"/>
          <w:szCs w:val="24"/>
          <w:lang w:val="en-CA" w:eastAsia="en-US"/>
        </w:rPr>
      </w:pPr>
      <w:r>
        <w:rPr>
          <w:rFonts w:ascii="Garamond" w:hAnsi="Garamond" w:cs="Calibri"/>
          <w:sz w:val="24"/>
          <w:szCs w:val="24"/>
          <w:lang w:eastAsia="zh-TW"/>
        </w:rPr>
        <w:t>For the HDDS in Fig. 3A vertical dotted lines at 3 and 6 indicate food security category cutoffs of low and medium dietary diversity (proxies for low and medium food security, respectively). Most cluster averages lie between these two categories. While</w:t>
      </w:r>
      <w:r>
        <w:rPr>
          <w:rFonts w:ascii="Garamond" w:hAnsi="Garamond" w:cs="Calibri"/>
          <w:sz w:val="24"/>
          <w:szCs w:val="24"/>
          <w:lang w:val="en-CA" w:eastAsia="zh-TW"/>
        </w:rPr>
        <w:t xml:space="preserve"> our model tends to under-predict food security in the middle-range of the distribution (we predict </w:t>
      </w:r>
      <w:r>
        <w:rPr>
          <w:rFonts w:ascii="Garamond" w:hAnsi="Garamond" w:cs="Calibri"/>
          <w:sz w:val="24"/>
          <w:szCs w:val="24"/>
          <w:highlight w:val="yellow"/>
          <w:lang w:val="en-CA" w:eastAsia="zh-TW"/>
        </w:rPr>
        <w:t xml:space="preserve">88% have lower than actual HDDS values and 12% have higher values than their true level), </w:t>
      </w:r>
      <w:r>
        <w:rPr>
          <w:rFonts w:ascii="Garamond" w:hAnsi="Garamond" w:cs="Calibri"/>
          <w:sz w:val="24"/>
          <w:szCs w:val="24"/>
          <w:highlight w:val="yellow"/>
          <w:lang w:eastAsia="zh-TW"/>
        </w:rPr>
        <w:t>we correctly classify the food security category of 87%</w:t>
      </w:r>
      <w:r>
        <w:rPr>
          <w:rFonts w:ascii="Garamond" w:hAnsi="Garamond" w:cs="Calibri"/>
          <w:sz w:val="24"/>
          <w:szCs w:val="24"/>
          <w:lang w:eastAsia="zh-TW"/>
        </w:rPr>
        <w:t xml:space="preserve"> </w:t>
      </w:r>
      <w:r w:rsidR="00496A8B" w:rsidRPr="009C0467">
        <w:rPr>
          <w:rFonts w:ascii="Garamond" w:hAnsi="Garamond" w:cs="Calibri"/>
          <w:sz w:val="24"/>
          <w:szCs w:val="24"/>
          <w:highlight w:val="cyan"/>
          <w:lang w:val="en-CA" w:eastAsia="zh-TW"/>
        </w:rPr>
        <w:t xml:space="preserve">we predict </w:t>
      </w:r>
      <w:r w:rsidR="00964E29">
        <w:rPr>
          <w:rFonts w:ascii="Garamond" w:hAnsi="Garamond" w:cs="Calibri"/>
          <w:sz w:val="24"/>
          <w:szCs w:val="24"/>
          <w:highlight w:val="cyan"/>
          <w:lang w:val="en-CA" w:eastAsia="zh-TW"/>
        </w:rPr>
        <w:t>79</w:t>
      </w:r>
      <w:r w:rsidR="00496A8B" w:rsidRPr="009C0467">
        <w:rPr>
          <w:rFonts w:ascii="Garamond" w:hAnsi="Garamond" w:cs="Calibri"/>
          <w:sz w:val="24"/>
          <w:szCs w:val="24"/>
          <w:highlight w:val="cyan"/>
          <w:lang w:val="en-CA" w:eastAsia="zh-TW"/>
        </w:rPr>
        <w:t>% have lower than actual HDDS values and 2</w:t>
      </w:r>
      <w:r w:rsidR="00964E29">
        <w:rPr>
          <w:rFonts w:ascii="Garamond" w:hAnsi="Garamond" w:cs="Calibri"/>
          <w:sz w:val="24"/>
          <w:szCs w:val="24"/>
          <w:highlight w:val="cyan"/>
          <w:lang w:val="en-CA" w:eastAsia="zh-TW"/>
        </w:rPr>
        <w:t>1</w:t>
      </w:r>
      <w:r w:rsidR="00496A8B" w:rsidRPr="009C0467">
        <w:rPr>
          <w:rFonts w:ascii="Garamond" w:hAnsi="Garamond" w:cs="Calibri"/>
          <w:sz w:val="24"/>
          <w:szCs w:val="24"/>
          <w:highlight w:val="cyan"/>
          <w:lang w:val="en-CA" w:eastAsia="zh-TW"/>
        </w:rPr>
        <w:t xml:space="preserve">% have higher values than their true level), </w:t>
      </w:r>
      <w:r w:rsidR="00496A8B" w:rsidRPr="009C0467">
        <w:rPr>
          <w:rFonts w:ascii="Garamond" w:hAnsi="Garamond" w:cs="Calibri"/>
          <w:sz w:val="24"/>
          <w:szCs w:val="24"/>
          <w:highlight w:val="cyan"/>
          <w:lang w:eastAsia="zh-TW"/>
        </w:rPr>
        <w:t>we correctly classify the food security category of 8</w:t>
      </w:r>
      <w:r w:rsidR="006C6263">
        <w:rPr>
          <w:rFonts w:ascii="Garamond" w:hAnsi="Garamond" w:cs="Calibri"/>
          <w:sz w:val="24"/>
          <w:szCs w:val="24"/>
          <w:highlight w:val="cyan"/>
          <w:lang w:eastAsia="zh-TW"/>
        </w:rPr>
        <w:t>8</w:t>
      </w:r>
      <w:r w:rsidR="00496A8B" w:rsidRPr="009C0467">
        <w:rPr>
          <w:rFonts w:ascii="Garamond" w:hAnsi="Garamond" w:cs="Calibri"/>
          <w:sz w:val="24"/>
          <w:szCs w:val="24"/>
          <w:highlight w:val="cyan"/>
          <w:lang w:eastAsia="zh-TW"/>
        </w:rPr>
        <w:t>%</w:t>
      </w:r>
      <w:r w:rsidR="00496A8B">
        <w:rPr>
          <w:rFonts w:ascii="Garamond" w:hAnsi="Garamond" w:cs="Calibri"/>
          <w:sz w:val="24"/>
          <w:szCs w:val="24"/>
          <w:lang w:eastAsia="zh-TW"/>
        </w:rPr>
        <w:t xml:space="preserve"> </w:t>
      </w:r>
      <w:r>
        <w:rPr>
          <w:rFonts w:ascii="Garamond" w:hAnsi="Garamond" w:cs="Calibri"/>
          <w:sz w:val="24"/>
          <w:szCs w:val="24"/>
          <w:lang w:eastAsia="zh-TW"/>
        </w:rPr>
        <w:t xml:space="preserve">of the sample, </w:t>
      </w:r>
      <w:r>
        <w:rPr>
          <w:rFonts w:ascii="Garamond" w:hAnsi="Garamond" w:cs="Calibri"/>
          <w:sz w:val="24"/>
          <w:szCs w:val="24"/>
          <w:lang w:val="en-CA" w:eastAsia="zh-TW"/>
        </w:rPr>
        <w:t xml:space="preserve">outperforming the simple assumption of all households being in the largest category (medium dietary diversity), which would correctly </w:t>
      </w:r>
      <w:r>
        <w:rPr>
          <w:rFonts w:ascii="Garamond" w:hAnsi="Garamond" w:cs="Calibri"/>
          <w:sz w:val="24"/>
          <w:szCs w:val="24"/>
          <w:highlight w:val="yellow"/>
          <w:lang w:val="en-CA" w:eastAsia="zh-TW"/>
        </w:rPr>
        <w:t>categorize 78%.</w:t>
      </w:r>
      <w:r>
        <w:rPr>
          <w:rFonts w:ascii="Garamond" w:hAnsi="Garamond" w:cs="Calibri"/>
          <w:sz w:val="24"/>
          <w:szCs w:val="24"/>
          <w:lang w:val="en-CA" w:eastAsia="zh-TW"/>
        </w:rPr>
        <w:t xml:space="preserve"> </w:t>
      </w:r>
      <w:r w:rsidR="00702B4B" w:rsidRPr="000B3FF9">
        <w:rPr>
          <w:rFonts w:ascii="Garamond" w:hAnsi="Garamond" w:cs="Calibri"/>
          <w:sz w:val="24"/>
          <w:szCs w:val="24"/>
          <w:highlight w:val="cyan"/>
          <w:lang w:val="en-CA" w:eastAsia="zh-TW"/>
        </w:rPr>
        <w:t>categorize 7</w:t>
      </w:r>
      <w:r w:rsidR="004B617D">
        <w:rPr>
          <w:rFonts w:ascii="Garamond" w:hAnsi="Garamond" w:cs="Calibri" w:hint="eastAsia"/>
          <w:sz w:val="24"/>
          <w:szCs w:val="24"/>
          <w:highlight w:val="cyan"/>
          <w:lang w:val="en-CA"/>
        </w:rPr>
        <w:t>6</w:t>
      </w:r>
      <w:r w:rsidR="00702B4B" w:rsidRPr="000B3FF9">
        <w:rPr>
          <w:rFonts w:ascii="Garamond" w:hAnsi="Garamond" w:cs="Calibri"/>
          <w:sz w:val="24"/>
          <w:szCs w:val="24"/>
          <w:highlight w:val="cyan"/>
          <w:lang w:val="en-CA" w:eastAsia="zh-TW"/>
        </w:rPr>
        <w:t>%.</w:t>
      </w:r>
      <w:r w:rsidR="00702B4B">
        <w:rPr>
          <w:rFonts w:ascii="Garamond" w:hAnsi="Garamond" w:cs="Calibri"/>
          <w:sz w:val="24"/>
          <w:szCs w:val="24"/>
          <w:lang w:val="en-CA" w:eastAsia="zh-TW"/>
        </w:rPr>
        <w:t xml:space="preserve"> </w:t>
      </w:r>
      <w:r>
        <w:rPr>
          <w:rFonts w:ascii="Garamond" w:hAnsi="Garamond" w:cs="Calibri"/>
          <w:sz w:val="24"/>
          <w:szCs w:val="24"/>
          <w:lang w:eastAsia="zh-TW"/>
        </w:rPr>
        <w:t>Similarly, we observe more type I than type II errors (</w:t>
      </w:r>
      <w:r>
        <w:rPr>
          <w:rFonts w:ascii="Garamond" w:hAnsi="Garamond" w:cs="Calibri"/>
          <w:sz w:val="24"/>
          <w:szCs w:val="24"/>
          <w:highlight w:val="yellow"/>
          <w:lang w:eastAsia="zh-TW"/>
        </w:rPr>
        <w:t>13% versus than less than 1%);</w:t>
      </w:r>
      <w:r>
        <w:rPr>
          <w:rFonts w:ascii="Garamond" w:hAnsi="Garamond" w:cs="Calibri"/>
          <w:sz w:val="24"/>
          <w:szCs w:val="24"/>
          <w:lang w:eastAsia="zh-TW"/>
        </w:rPr>
        <w:t xml:space="preserve"> </w:t>
      </w:r>
      <w:r w:rsidR="000B3FF9" w:rsidRPr="000B3FF9">
        <w:rPr>
          <w:rFonts w:ascii="Garamond" w:hAnsi="Garamond" w:cs="Calibri"/>
          <w:sz w:val="24"/>
          <w:szCs w:val="24"/>
          <w:highlight w:val="cyan"/>
          <w:lang w:eastAsia="zh-TW"/>
        </w:rPr>
        <w:t>1</w:t>
      </w:r>
      <w:r w:rsidR="00C46BD1">
        <w:rPr>
          <w:rFonts w:ascii="Garamond" w:hAnsi="Garamond" w:cs="Calibri"/>
          <w:sz w:val="24"/>
          <w:szCs w:val="24"/>
          <w:highlight w:val="cyan"/>
          <w:lang w:eastAsia="zh-TW"/>
        </w:rPr>
        <w:t>1</w:t>
      </w:r>
      <w:r w:rsidR="000B3FF9" w:rsidRPr="000B3FF9">
        <w:rPr>
          <w:rFonts w:ascii="Garamond" w:hAnsi="Garamond" w:cs="Calibri"/>
          <w:sz w:val="24"/>
          <w:szCs w:val="24"/>
          <w:highlight w:val="cyan"/>
          <w:lang w:eastAsia="zh-TW"/>
        </w:rPr>
        <w:t>% versus than less than 1%);</w:t>
      </w:r>
      <w:r w:rsidR="000B3FF9">
        <w:rPr>
          <w:rFonts w:ascii="Garamond" w:hAnsi="Garamond" w:cs="Calibri"/>
          <w:sz w:val="24"/>
          <w:szCs w:val="24"/>
          <w:lang w:eastAsia="zh-TW"/>
        </w:rPr>
        <w:t xml:space="preserve"> </w:t>
      </w:r>
      <w:r>
        <w:rPr>
          <w:rFonts w:ascii="Garamond" w:hAnsi="Garamond" w:cs="Calibri"/>
          <w:sz w:val="24"/>
          <w:szCs w:val="24"/>
          <w:lang w:eastAsia="zh-TW"/>
        </w:rPr>
        <w:t xml:space="preserve">thus, our model misses very few clusters that are truly food insecure. </w:t>
      </w:r>
    </w:p>
    <w:p w:rsidR="005B03FE" w:rsidRDefault="005B03FE" w:rsidP="005B03FE">
      <w:pPr>
        <w:pStyle w:val="Paragraph"/>
        <w:spacing w:before="0" w:line="480" w:lineRule="auto"/>
        <w:ind w:left="720" w:firstLine="0"/>
        <w:rPr>
          <w:rFonts w:ascii="Garamond" w:hAnsi="Garamond"/>
          <w:b/>
          <w:bCs/>
        </w:rPr>
      </w:pPr>
    </w:p>
    <w:p w:rsidR="003F75E7" w:rsidRDefault="003F75E7" w:rsidP="005B03FE">
      <w:pPr>
        <w:pStyle w:val="Paragraph"/>
        <w:spacing w:before="0" w:line="480" w:lineRule="auto"/>
        <w:ind w:left="720" w:firstLine="0"/>
        <w:rPr>
          <w:rFonts w:ascii="Garamond" w:hAnsi="Garamond"/>
          <w:b/>
          <w:bCs/>
        </w:rPr>
      </w:pPr>
    </w:p>
    <w:p w:rsidR="003F75E7" w:rsidRDefault="003F75E7" w:rsidP="003E65B0">
      <w:pPr>
        <w:pStyle w:val="Paragraph"/>
        <w:spacing w:before="0" w:line="480" w:lineRule="auto"/>
        <w:ind w:firstLine="0"/>
        <w:rPr>
          <w:rFonts w:ascii="Garamond" w:hAnsi="Garamond"/>
          <w:b/>
          <w:bCs/>
        </w:rPr>
      </w:pPr>
    </w:p>
    <w:p w:rsidR="005B03FE" w:rsidRDefault="005B03FE" w:rsidP="005B03FE">
      <w:pPr>
        <w:spacing w:line="480" w:lineRule="auto"/>
        <w:ind w:left="720"/>
        <w:rPr>
          <w:rFonts w:ascii="Garamond" w:hAnsi="Garamond" w:cs="Calibri"/>
          <w:sz w:val="24"/>
          <w:szCs w:val="24"/>
          <w:lang w:val="en-CA" w:eastAsia="zh-TW"/>
        </w:rPr>
      </w:pPr>
      <w:r>
        <w:rPr>
          <w:rFonts w:ascii="Garamond" w:hAnsi="Garamond" w:cs="Calibri"/>
          <w:sz w:val="24"/>
          <w:szCs w:val="24"/>
          <w:lang w:val="en-CA" w:eastAsia="zh-TW"/>
        </w:rPr>
        <w:t xml:space="preserve">For FCS, shown in Fig. 3B, the model slightly under-predicts food security for the majority of the sample (we predict </w:t>
      </w:r>
      <w:r>
        <w:rPr>
          <w:rFonts w:ascii="Garamond" w:hAnsi="Garamond" w:cs="Calibri"/>
          <w:sz w:val="24"/>
          <w:szCs w:val="24"/>
          <w:highlight w:val="yellow"/>
          <w:lang w:val="en-CA"/>
        </w:rPr>
        <w:t>70</w:t>
      </w:r>
      <w:r>
        <w:rPr>
          <w:rFonts w:ascii="Garamond" w:hAnsi="Garamond" w:cs="Calibri"/>
          <w:sz w:val="24"/>
          <w:szCs w:val="24"/>
          <w:highlight w:val="yellow"/>
          <w:lang w:val="en-CA" w:eastAsia="zh-TW"/>
        </w:rPr>
        <w:t>% have lower FCS values than their true level and 30%</w:t>
      </w:r>
      <w:r>
        <w:rPr>
          <w:rFonts w:ascii="Garamond" w:hAnsi="Garamond" w:cs="Calibri"/>
          <w:sz w:val="24"/>
          <w:szCs w:val="24"/>
          <w:lang w:val="en-CA" w:eastAsia="zh-TW"/>
        </w:rPr>
        <w:t xml:space="preserve"> </w:t>
      </w:r>
      <w:r w:rsidR="004C1119">
        <w:rPr>
          <w:rFonts w:ascii="Garamond" w:hAnsi="Garamond" w:cs="Calibri" w:hint="eastAsia"/>
          <w:sz w:val="24"/>
          <w:szCs w:val="24"/>
          <w:highlight w:val="cyan"/>
          <w:lang w:val="en-CA"/>
        </w:rPr>
        <w:t>82</w:t>
      </w:r>
      <w:r w:rsidR="005F248F" w:rsidRPr="005F248F">
        <w:rPr>
          <w:rFonts w:ascii="Garamond" w:hAnsi="Garamond" w:cs="Calibri"/>
          <w:sz w:val="24"/>
          <w:szCs w:val="24"/>
          <w:highlight w:val="cyan"/>
          <w:lang w:val="en-CA" w:eastAsia="zh-TW"/>
        </w:rPr>
        <w:t xml:space="preserve">% have lower FCS values than their true level and </w:t>
      </w:r>
      <w:r w:rsidR="002936E3">
        <w:rPr>
          <w:rFonts w:ascii="Garamond" w:hAnsi="Garamond" w:cs="Calibri" w:hint="eastAsia"/>
          <w:sz w:val="24"/>
          <w:szCs w:val="24"/>
          <w:highlight w:val="cyan"/>
          <w:lang w:val="en-CA"/>
        </w:rPr>
        <w:t>18</w:t>
      </w:r>
      <w:proofErr w:type="gramStart"/>
      <w:r w:rsidR="005F248F" w:rsidRPr="005F248F">
        <w:rPr>
          <w:rFonts w:ascii="Garamond" w:hAnsi="Garamond" w:cs="Calibri"/>
          <w:sz w:val="24"/>
          <w:szCs w:val="24"/>
          <w:highlight w:val="cyan"/>
          <w:lang w:val="en-CA" w:eastAsia="zh-TW"/>
        </w:rPr>
        <w:t>%</w:t>
      </w:r>
      <w:r w:rsidR="005F248F">
        <w:rPr>
          <w:rFonts w:ascii="Garamond" w:hAnsi="Garamond" w:cs="Calibri"/>
          <w:sz w:val="24"/>
          <w:szCs w:val="24"/>
          <w:highlight w:val="cyan"/>
          <w:lang w:val="en-CA" w:eastAsia="zh-TW"/>
        </w:rPr>
        <w:t xml:space="preserve"> </w:t>
      </w:r>
      <w:r w:rsidR="009C730D">
        <w:rPr>
          <w:rFonts w:ascii="Garamond" w:hAnsi="Garamond" w:cs="Calibri"/>
          <w:sz w:val="24"/>
          <w:szCs w:val="24"/>
          <w:highlight w:val="cyan"/>
          <w:lang w:val="en-CA" w:eastAsia="zh-TW"/>
        </w:rPr>
        <w:t xml:space="preserve"> </w:t>
      </w:r>
      <w:r>
        <w:rPr>
          <w:rFonts w:ascii="Garamond" w:hAnsi="Garamond" w:cs="Calibri"/>
          <w:sz w:val="24"/>
          <w:szCs w:val="24"/>
          <w:lang w:val="en-CA" w:eastAsia="zh-TW"/>
        </w:rPr>
        <w:t>have</w:t>
      </w:r>
      <w:proofErr w:type="gramEnd"/>
      <w:r>
        <w:rPr>
          <w:rFonts w:ascii="Garamond" w:hAnsi="Garamond" w:cs="Calibri"/>
          <w:sz w:val="24"/>
          <w:szCs w:val="24"/>
          <w:lang w:val="en-CA" w:eastAsia="zh-TW"/>
        </w:rPr>
        <w:t xml:space="preserve"> higher). The model performs especially well for households in the lowest food security category in the 2013 data (“borderline”), correctly classifying </w:t>
      </w:r>
      <w:r>
        <w:rPr>
          <w:rFonts w:ascii="Garamond" w:hAnsi="Garamond" w:cs="Calibri"/>
          <w:sz w:val="24"/>
          <w:szCs w:val="24"/>
          <w:highlight w:val="yellow"/>
          <w:lang w:val="en-CA" w:eastAsia="zh-TW"/>
        </w:rPr>
        <w:t>77% of the most food insecure clusters. Overall, we correctly predict 62% of the cluster categories, under-estimating the food security category of 31% of the sample (area IV), and over-estimating only 6%</w:t>
      </w:r>
      <w:r>
        <w:rPr>
          <w:rFonts w:ascii="Garamond" w:hAnsi="Garamond" w:cs="Calibri"/>
          <w:sz w:val="24"/>
          <w:szCs w:val="24"/>
          <w:lang w:val="en-CA" w:eastAsia="zh-TW"/>
        </w:rPr>
        <w:t xml:space="preserve"> (area I).</w:t>
      </w:r>
      <w:r w:rsidR="00CC2C9D">
        <w:rPr>
          <w:rFonts w:ascii="Garamond" w:hAnsi="Garamond" w:cs="Calibri"/>
          <w:sz w:val="24"/>
          <w:szCs w:val="24"/>
          <w:highlight w:val="cyan"/>
          <w:lang w:val="en-CA" w:eastAsia="zh-TW"/>
        </w:rPr>
        <w:t xml:space="preserve"> </w:t>
      </w:r>
      <w:r w:rsidR="00CC2C9D">
        <w:rPr>
          <w:rFonts w:ascii="Garamond" w:hAnsi="Garamond" w:cs="Calibri" w:hint="eastAsia"/>
          <w:sz w:val="24"/>
          <w:szCs w:val="24"/>
          <w:highlight w:val="cyan"/>
          <w:lang w:val="en-CA"/>
        </w:rPr>
        <w:t>83</w:t>
      </w:r>
      <w:r w:rsidR="00311939" w:rsidRPr="00311939">
        <w:rPr>
          <w:rFonts w:ascii="Garamond" w:hAnsi="Garamond" w:cs="Calibri"/>
          <w:sz w:val="24"/>
          <w:szCs w:val="24"/>
          <w:highlight w:val="cyan"/>
          <w:lang w:val="en-CA" w:eastAsia="zh-TW"/>
        </w:rPr>
        <w:t xml:space="preserve">% of the most food insecure clusters. Overall, we correctly predict </w:t>
      </w:r>
      <w:r w:rsidR="00051FB8">
        <w:rPr>
          <w:rFonts w:ascii="Garamond" w:hAnsi="Garamond" w:cs="Calibri" w:hint="eastAsia"/>
          <w:sz w:val="24"/>
          <w:szCs w:val="24"/>
          <w:highlight w:val="cyan"/>
          <w:lang w:val="en-CA"/>
        </w:rPr>
        <w:t>76</w:t>
      </w:r>
      <w:r w:rsidR="00311939" w:rsidRPr="00311939">
        <w:rPr>
          <w:rFonts w:ascii="Garamond" w:hAnsi="Garamond" w:cs="Calibri"/>
          <w:sz w:val="24"/>
          <w:szCs w:val="24"/>
          <w:highlight w:val="cyan"/>
          <w:lang w:val="en-CA" w:eastAsia="zh-TW"/>
        </w:rPr>
        <w:t xml:space="preserve">% of the cluster categories, under-estimating the food security category of </w:t>
      </w:r>
      <w:r w:rsidR="005A3550">
        <w:rPr>
          <w:rFonts w:ascii="Garamond" w:hAnsi="Garamond" w:cs="Calibri" w:hint="eastAsia"/>
          <w:sz w:val="24"/>
          <w:szCs w:val="24"/>
          <w:highlight w:val="cyan"/>
          <w:lang w:val="en-CA"/>
        </w:rPr>
        <w:t>2</w:t>
      </w:r>
      <w:r w:rsidR="00F32E5E">
        <w:rPr>
          <w:rFonts w:ascii="Garamond" w:hAnsi="Garamond" w:cs="Calibri"/>
          <w:sz w:val="24"/>
          <w:szCs w:val="24"/>
          <w:highlight w:val="cyan"/>
          <w:lang w:val="en-CA"/>
        </w:rPr>
        <w:t>3</w:t>
      </w:r>
      <w:r w:rsidR="00311939" w:rsidRPr="00311939">
        <w:rPr>
          <w:rFonts w:ascii="Garamond" w:hAnsi="Garamond" w:cs="Calibri"/>
          <w:sz w:val="24"/>
          <w:szCs w:val="24"/>
          <w:highlight w:val="cyan"/>
          <w:lang w:val="en-CA" w:eastAsia="zh-TW"/>
        </w:rPr>
        <w:t xml:space="preserve">% of the sample (area IV), and over-estimating only </w:t>
      </w:r>
      <w:r w:rsidR="00DB708D">
        <w:rPr>
          <w:rFonts w:ascii="Garamond" w:hAnsi="Garamond" w:cs="Calibri"/>
          <w:sz w:val="24"/>
          <w:szCs w:val="24"/>
          <w:highlight w:val="cyan"/>
          <w:lang w:val="en-CA" w:eastAsia="zh-TW"/>
        </w:rPr>
        <w:t>1</w:t>
      </w:r>
      <w:proofErr w:type="gramStart"/>
      <w:r w:rsidR="00311939" w:rsidRPr="00311939">
        <w:rPr>
          <w:rFonts w:ascii="Garamond" w:hAnsi="Garamond" w:cs="Calibri"/>
          <w:sz w:val="24"/>
          <w:szCs w:val="24"/>
          <w:highlight w:val="cyan"/>
          <w:lang w:val="en-CA" w:eastAsia="zh-TW"/>
        </w:rPr>
        <w:t>%</w:t>
      </w:r>
      <w:r w:rsidR="00311939">
        <w:rPr>
          <w:rFonts w:ascii="Garamond" w:hAnsi="Garamond" w:cs="Calibri"/>
          <w:sz w:val="24"/>
          <w:szCs w:val="24"/>
          <w:lang w:val="en-CA" w:eastAsia="zh-TW"/>
        </w:rPr>
        <w:t xml:space="preserve"> </w:t>
      </w:r>
      <w:r>
        <w:rPr>
          <w:rFonts w:ascii="Garamond" w:hAnsi="Garamond" w:cs="Calibri"/>
          <w:sz w:val="24"/>
          <w:szCs w:val="24"/>
          <w:lang w:val="en-CA" w:eastAsia="zh-TW"/>
        </w:rPr>
        <w:t xml:space="preserve"> This</w:t>
      </w:r>
      <w:proofErr w:type="gramEnd"/>
      <w:r>
        <w:rPr>
          <w:rFonts w:ascii="Garamond" w:hAnsi="Garamond" w:cs="Calibri"/>
          <w:sz w:val="24"/>
          <w:szCs w:val="24"/>
          <w:lang w:val="en-CA" w:eastAsia="zh-TW"/>
        </w:rPr>
        <w:t xml:space="preserve"> result is much better than random, which would correctly categorize only one third of households. On the other hand, due to the fact that the cut-off levels used by humanitarian agencies are designed to capture relatively rare events, our prediction performs slightly worse than if we simply assumed that each cluster was food secure, on average, which would correctly </w:t>
      </w:r>
      <w:r>
        <w:rPr>
          <w:rFonts w:ascii="Garamond" w:hAnsi="Garamond" w:cs="Calibri"/>
          <w:sz w:val="24"/>
          <w:szCs w:val="24"/>
          <w:highlight w:val="yellow"/>
          <w:lang w:val="en-CA" w:eastAsia="zh-TW"/>
        </w:rPr>
        <w:t>categorize 74% of</w:t>
      </w:r>
      <w:r>
        <w:rPr>
          <w:rFonts w:ascii="Garamond" w:hAnsi="Garamond" w:cs="Calibri"/>
          <w:sz w:val="24"/>
          <w:szCs w:val="24"/>
          <w:lang w:val="en-CA" w:eastAsia="zh-TW"/>
        </w:rPr>
        <w:t xml:space="preserve"> </w:t>
      </w:r>
      <w:r w:rsidR="009F50D8" w:rsidRPr="00D7098B">
        <w:rPr>
          <w:rFonts w:ascii="Garamond" w:hAnsi="Garamond" w:cs="Calibri"/>
          <w:sz w:val="24"/>
          <w:szCs w:val="24"/>
          <w:highlight w:val="cyan"/>
          <w:lang w:val="en-CA" w:eastAsia="zh-TW"/>
        </w:rPr>
        <w:t xml:space="preserve">categorize </w:t>
      </w:r>
      <w:r w:rsidR="009F50D8" w:rsidRPr="00D7098B">
        <w:rPr>
          <w:rFonts w:ascii="Garamond" w:hAnsi="Garamond" w:cs="Calibri"/>
          <w:sz w:val="24"/>
          <w:szCs w:val="24"/>
          <w:highlight w:val="cyan"/>
          <w:lang w:val="en-CA" w:eastAsia="zh-TW"/>
        </w:rPr>
        <w:t>91</w:t>
      </w:r>
      <w:r w:rsidR="009F50D8" w:rsidRPr="00D7098B">
        <w:rPr>
          <w:rFonts w:ascii="Garamond" w:hAnsi="Garamond" w:cs="Calibri"/>
          <w:sz w:val="24"/>
          <w:szCs w:val="24"/>
          <w:highlight w:val="cyan"/>
          <w:lang w:val="en-CA" w:eastAsia="zh-TW"/>
        </w:rPr>
        <w:t>% of</w:t>
      </w:r>
      <w:r w:rsidR="009F50D8">
        <w:rPr>
          <w:rFonts w:ascii="Garamond" w:hAnsi="Garamond" w:cs="Calibri"/>
          <w:sz w:val="24"/>
          <w:szCs w:val="24"/>
          <w:lang w:val="en-CA" w:eastAsia="zh-TW"/>
        </w:rPr>
        <w:t xml:space="preserve"> </w:t>
      </w:r>
      <w:r w:rsidR="00B64EDA" w:rsidRPr="00B64EDA">
        <w:rPr>
          <w:rFonts w:ascii="Garamond" w:hAnsi="Garamond" w:cs="Calibri"/>
          <w:sz w:val="24"/>
          <w:szCs w:val="24"/>
          <w:highlight w:val="cyan"/>
          <w:lang w:val="en-CA" w:eastAsia="zh-TW"/>
        </w:rPr>
        <w:t>(</w:t>
      </w:r>
      <w:r w:rsidR="00B64EDA">
        <w:rPr>
          <w:rFonts w:ascii="Garamond" w:hAnsi="Garamond" w:cs="Calibri"/>
          <w:sz w:val="24"/>
          <w:szCs w:val="24"/>
          <w:highlight w:val="cyan"/>
          <w:lang w:val="en-CA" w:eastAsia="zh-TW"/>
        </w:rPr>
        <w:t xml:space="preserve">Note: </w:t>
      </w:r>
      <w:r w:rsidR="00B64EDA" w:rsidRPr="00B64EDA">
        <w:rPr>
          <w:rFonts w:ascii="Garamond" w:hAnsi="Garamond" w:cs="Calibri"/>
          <w:sz w:val="24"/>
          <w:szCs w:val="24"/>
          <w:highlight w:val="cyan"/>
          <w:lang w:val="en-CA" w:eastAsia="zh-TW"/>
        </w:rPr>
        <w:t xml:space="preserve">removing the </w:t>
      </w:r>
      <w:proofErr w:type="spellStart"/>
      <w:r w:rsidR="00B64EDA" w:rsidRPr="00B64EDA">
        <w:rPr>
          <w:rFonts w:ascii="Garamond" w:hAnsi="Garamond" w:cs="Calibri"/>
          <w:sz w:val="24"/>
          <w:szCs w:val="24"/>
          <w:highlight w:val="cyan"/>
          <w:lang w:val="en-CA" w:eastAsia="zh-TW"/>
        </w:rPr>
        <w:t>ipc</w:t>
      </w:r>
      <w:proofErr w:type="spellEnd"/>
      <w:r w:rsidR="00B64EDA" w:rsidRPr="00B64EDA">
        <w:rPr>
          <w:rFonts w:ascii="Garamond" w:hAnsi="Garamond" w:cs="Calibri"/>
          <w:sz w:val="24"/>
          <w:szCs w:val="24"/>
          <w:highlight w:val="cyan"/>
          <w:lang w:val="en-CA" w:eastAsia="zh-TW"/>
        </w:rPr>
        <w:t xml:space="preserve"> 12 lag adds in more food secure </w:t>
      </w:r>
      <w:proofErr w:type="gramStart"/>
      <w:r w:rsidR="00B64EDA" w:rsidRPr="00B64EDA">
        <w:rPr>
          <w:rFonts w:ascii="Garamond" w:hAnsi="Garamond" w:cs="Calibri"/>
          <w:sz w:val="24"/>
          <w:szCs w:val="24"/>
          <w:highlight w:val="cyan"/>
          <w:lang w:val="en-CA" w:eastAsia="zh-TW"/>
        </w:rPr>
        <w:t>clusters)</w:t>
      </w:r>
      <w:r>
        <w:rPr>
          <w:rFonts w:ascii="Garamond" w:hAnsi="Garamond" w:cs="Calibri"/>
          <w:sz w:val="24"/>
          <w:szCs w:val="24"/>
          <w:lang w:val="en-CA" w:eastAsia="zh-TW"/>
        </w:rPr>
        <w:t>the</w:t>
      </w:r>
      <w:proofErr w:type="gramEnd"/>
      <w:r>
        <w:rPr>
          <w:rFonts w:ascii="Garamond" w:hAnsi="Garamond" w:cs="Calibri"/>
          <w:sz w:val="24"/>
          <w:szCs w:val="24"/>
          <w:lang w:val="en-CA" w:eastAsia="zh-TW"/>
        </w:rPr>
        <w:t xml:space="preserve"> clusters.</w:t>
      </w:r>
      <w:r w:rsidR="005A3550">
        <w:rPr>
          <w:rFonts w:ascii="Garamond" w:hAnsi="Garamond" w:cs="Calibri"/>
          <w:sz w:val="24"/>
          <w:szCs w:val="24"/>
          <w:lang w:val="en-CA" w:eastAsia="zh-TW"/>
        </w:rPr>
        <w:t xml:space="preserve"> </w:t>
      </w:r>
      <w:r w:rsidR="009F50D8">
        <w:rPr>
          <w:rFonts w:ascii="Garamond" w:hAnsi="Garamond" w:cs="Calibri"/>
          <w:sz w:val="24"/>
          <w:szCs w:val="24"/>
          <w:highlight w:val="cyan"/>
          <w:lang w:val="en-CA" w:eastAsia="zh-TW"/>
        </w:rPr>
        <w:t xml:space="preserve"> </w:t>
      </w:r>
    </w:p>
    <w:p w:rsidR="005B03FE" w:rsidRDefault="005B03FE" w:rsidP="005B03FE">
      <w:pPr>
        <w:pStyle w:val="Paragraph"/>
        <w:spacing w:before="0" w:line="480" w:lineRule="auto"/>
        <w:ind w:left="720" w:firstLine="0"/>
        <w:rPr>
          <w:rFonts w:ascii="Garamond" w:hAnsi="Garamond"/>
          <w:b/>
          <w:bCs/>
        </w:rPr>
      </w:pPr>
    </w:p>
    <w:p w:rsidR="005B03FE" w:rsidRDefault="005B03FE" w:rsidP="005B03FE">
      <w:pPr>
        <w:spacing w:line="480" w:lineRule="auto"/>
        <w:ind w:left="720"/>
        <w:rPr>
          <w:rFonts w:ascii="Garamond" w:hAnsi="Garamond" w:cs="Calibri"/>
          <w:sz w:val="24"/>
          <w:szCs w:val="24"/>
          <w:lang w:val="en-CA" w:eastAsia="zh-TW"/>
        </w:rPr>
      </w:pPr>
      <w:r>
        <w:rPr>
          <w:rFonts w:ascii="Garamond" w:hAnsi="Garamond" w:cs="Calibri"/>
          <w:sz w:val="24"/>
          <w:szCs w:val="24"/>
          <w:lang w:val="en-CA" w:eastAsia="zh-TW"/>
        </w:rPr>
        <w:t xml:space="preserve">For </w:t>
      </w:r>
      <w:proofErr w:type="spellStart"/>
      <w:r>
        <w:rPr>
          <w:rFonts w:ascii="Garamond" w:hAnsi="Garamond" w:cs="Calibri"/>
          <w:sz w:val="24"/>
          <w:szCs w:val="24"/>
          <w:lang w:val="en-CA" w:eastAsia="zh-TW"/>
        </w:rPr>
        <w:t>rCSI</w:t>
      </w:r>
      <w:proofErr w:type="spellEnd"/>
      <w:r>
        <w:rPr>
          <w:rFonts w:ascii="Garamond" w:hAnsi="Garamond" w:cs="Calibri"/>
          <w:sz w:val="24"/>
          <w:szCs w:val="24"/>
          <w:lang w:val="en-CA" w:eastAsia="zh-TW"/>
        </w:rPr>
        <w:t xml:space="preserve">, shown in Fig. 3C, our best model obtains </w:t>
      </w:r>
      <w:r>
        <w:rPr>
          <w:rFonts w:ascii="Garamond" w:hAnsi="Garamond" w:cs="Calibri"/>
          <w:sz w:val="24"/>
          <w:szCs w:val="24"/>
          <w:highlight w:val="yellow"/>
          <w:lang w:val="en-CA" w:eastAsia="zh-TW"/>
        </w:rPr>
        <w:t>65% accuracy, under-predicting the food security status of 56% of households, and over-predicting food security for 44%.</w:t>
      </w:r>
      <w:r>
        <w:rPr>
          <w:rFonts w:ascii="Garamond" w:hAnsi="Garamond" w:cs="Calibri"/>
          <w:sz w:val="24"/>
          <w:szCs w:val="24"/>
          <w:lang w:val="en-CA" w:eastAsia="zh-TW"/>
        </w:rPr>
        <w:t xml:space="preserve"> </w:t>
      </w:r>
      <w:r w:rsidR="00DA4A5C" w:rsidRPr="00DA4A5C">
        <w:rPr>
          <w:rFonts w:ascii="Garamond" w:hAnsi="Garamond" w:cs="Calibri"/>
          <w:sz w:val="24"/>
          <w:szCs w:val="24"/>
          <w:highlight w:val="cyan"/>
          <w:lang w:val="en-CA" w:eastAsia="zh-TW"/>
        </w:rPr>
        <w:t xml:space="preserve">65% accuracy, under-predicting the food security status of </w:t>
      </w:r>
      <w:r w:rsidR="00E203D1">
        <w:rPr>
          <w:rFonts w:ascii="Garamond" w:hAnsi="Garamond" w:cs="Calibri"/>
          <w:sz w:val="24"/>
          <w:szCs w:val="24"/>
          <w:highlight w:val="cyan"/>
          <w:lang w:val="en-CA" w:eastAsia="zh-TW"/>
        </w:rPr>
        <w:t>61</w:t>
      </w:r>
      <w:r w:rsidR="00DA4A5C" w:rsidRPr="00DA4A5C">
        <w:rPr>
          <w:rFonts w:ascii="Garamond" w:hAnsi="Garamond" w:cs="Calibri"/>
          <w:sz w:val="24"/>
          <w:szCs w:val="24"/>
          <w:highlight w:val="cyan"/>
          <w:lang w:val="en-CA" w:eastAsia="zh-TW"/>
        </w:rPr>
        <w:t xml:space="preserve">% of households, and over-predicting food security for </w:t>
      </w:r>
      <w:r w:rsidR="00E203D1">
        <w:rPr>
          <w:rFonts w:ascii="Garamond" w:hAnsi="Garamond" w:cs="Calibri"/>
          <w:sz w:val="24"/>
          <w:szCs w:val="24"/>
          <w:highlight w:val="cyan"/>
          <w:lang w:val="en-CA" w:eastAsia="zh-TW"/>
        </w:rPr>
        <w:t>39</w:t>
      </w:r>
      <w:r w:rsidR="00DA4A5C" w:rsidRPr="00DA4A5C">
        <w:rPr>
          <w:rFonts w:ascii="Garamond" w:hAnsi="Garamond" w:cs="Calibri"/>
          <w:sz w:val="24"/>
          <w:szCs w:val="24"/>
          <w:highlight w:val="cyan"/>
          <w:lang w:val="en-CA" w:eastAsia="zh-TW"/>
        </w:rPr>
        <w:t>%</w:t>
      </w:r>
      <w:r>
        <w:rPr>
          <w:rFonts w:ascii="Garamond" w:hAnsi="Garamond" w:cs="Calibri"/>
          <w:sz w:val="24"/>
          <w:szCs w:val="24"/>
          <w:lang w:val="en-CA" w:eastAsia="zh-TW"/>
        </w:rPr>
        <w:t xml:space="preserve">As with the HDDS, our best model does </w:t>
      </w:r>
      <w:r>
        <w:rPr>
          <w:rFonts w:ascii="Garamond" w:hAnsi="Garamond" w:cs="Calibri"/>
          <w:sz w:val="24"/>
          <w:szCs w:val="24"/>
          <w:lang w:val="en-CA" w:eastAsia="zh-TW"/>
        </w:rPr>
        <w:lastRenderedPageBreak/>
        <w:t xml:space="preserve">better than the naïve prediction that all clusters are food secure on average, which would correctly </w:t>
      </w:r>
      <w:r>
        <w:rPr>
          <w:rFonts w:ascii="Garamond" w:hAnsi="Garamond" w:cs="Calibri"/>
          <w:sz w:val="24"/>
          <w:szCs w:val="24"/>
          <w:highlight w:val="yellow"/>
          <w:lang w:val="en-CA" w:eastAsia="zh-TW"/>
        </w:rPr>
        <w:t>classify 56%,</w:t>
      </w:r>
      <w:r>
        <w:rPr>
          <w:rFonts w:ascii="Garamond" w:hAnsi="Garamond" w:cs="Calibri"/>
          <w:sz w:val="24"/>
          <w:szCs w:val="24"/>
          <w:lang w:val="en-CA" w:eastAsia="zh-TW"/>
        </w:rPr>
        <w:t xml:space="preserve"> </w:t>
      </w:r>
      <w:r w:rsidR="0006782A" w:rsidRPr="00265D8D">
        <w:rPr>
          <w:rFonts w:ascii="Garamond" w:hAnsi="Garamond" w:cs="Calibri"/>
          <w:sz w:val="24"/>
          <w:szCs w:val="24"/>
          <w:highlight w:val="cyan"/>
          <w:lang w:val="en-CA" w:eastAsia="zh-TW"/>
        </w:rPr>
        <w:t>classify 5</w:t>
      </w:r>
      <w:r w:rsidR="004D43B5">
        <w:rPr>
          <w:rFonts w:ascii="Garamond" w:hAnsi="Garamond" w:cs="Calibri"/>
          <w:sz w:val="24"/>
          <w:szCs w:val="24"/>
          <w:highlight w:val="cyan"/>
          <w:lang w:val="en-CA" w:eastAsia="zh-TW"/>
        </w:rPr>
        <w:t>4</w:t>
      </w:r>
      <w:r w:rsidR="0006782A" w:rsidRPr="00265D8D">
        <w:rPr>
          <w:rFonts w:ascii="Garamond" w:hAnsi="Garamond" w:cs="Calibri"/>
          <w:sz w:val="24"/>
          <w:szCs w:val="24"/>
          <w:highlight w:val="cyan"/>
          <w:lang w:val="en-CA" w:eastAsia="zh-TW"/>
        </w:rPr>
        <w:t>%,</w:t>
      </w:r>
      <w:r w:rsidR="0006782A">
        <w:rPr>
          <w:rFonts w:ascii="Garamond" w:hAnsi="Garamond" w:cs="Calibri"/>
          <w:sz w:val="24"/>
          <w:szCs w:val="24"/>
          <w:lang w:val="en-CA" w:eastAsia="zh-TW"/>
        </w:rPr>
        <w:t xml:space="preserve"> </w:t>
      </w:r>
      <w:r>
        <w:rPr>
          <w:rFonts w:ascii="Garamond" w:hAnsi="Garamond" w:cs="Calibri"/>
          <w:sz w:val="24"/>
          <w:szCs w:val="24"/>
          <w:lang w:val="en-CA" w:eastAsia="zh-TW"/>
        </w:rPr>
        <w:t>and considerably better than random allocation, which would only accurately predict the food security category of one quarter of the clusters.</w:t>
      </w:r>
    </w:p>
    <w:p w:rsidR="000809BC" w:rsidRDefault="000809BC" w:rsidP="005B03FE">
      <w:pPr>
        <w:spacing w:line="480" w:lineRule="auto"/>
        <w:ind w:left="720"/>
        <w:rPr>
          <w:rFonts w:ascii="Garamond" w:hAnsi="Garamond" w:cs="Calibri"/>
          <w:sz w:val="24"/>
          <w:szCs w:val="24"/>
          <w:lang w:val="en-CA" w:eastAsia="zh-TW"/>
        </w:rPr>
      </w:pPr>
    </w:p>
    <w:p w:rsidR="000809BC" w:rsidRDefault="000809BC" w:rsidP="005B03FE">
      <w:pPr>
        <w:spacing w:line="480" w:lineRule="auto"/>
        <w:ind w:left="720"/>
        <w:rPr>
          <w:rFonts w:ascii="Garamond" w:hAnsi="Garamond" w:cs="Calibri"/>
          <w:sz w:val="24"/>
          <w:szCs w:val="24"/>
          <w:lang w:val="en-CA" w:eastAsia="zh-TW"/>
        </w:rPr>
      </w:pPr>
    </w:p>
    <w:p w:rsidR="000809BC" w:rsidRDefault="000809BC" w:rsidP="005B03FE">
      <w:pPr>
        <w:spacing w:line="480" w:lineRule="auto"/>
        <w:ind w:left="720"/>
        <w:rPr>
          <w:rFonts w:ascii="Garamond" w:hAnsi="Garamond" w:cs="Calibri"/>
          <w:sz w:val="24"/>
          <w:szCs w:val="24"/>
          <w:lang w:val="en-CA" w:eastAsia="zh-TW"/>
        </w:rPr>
      </w:pPr>
    </w:p>
    <w:p w:rsidR="00CF46BD" w:rsidRDefault="00CF46BD" w:rsidP="00CF46BD">
      <w:pPr>
        <w:rPr>
          <w:rFonts w:ascii="Calibri" w:hAnsi="Calibri" w:cs="Calibri"/>
          <w:lang w:eastAsia="en-US"/>
        </w:rPr>
      </w:pPr>
      <w:r>
        <w:rPr>
          <w:rFonts w:ascii="Calibri" w:hAnsi="Calibri" w:cs="Calibri"/>
          <w:lang w:eastAsia="en-US"/>
        </w:rPr>
        <w:t>Hi all,</w:t>
      </w:r>
    </w:p>
    <w:p w:rsidR="00CF46BD" w:rsidRDefault="00CF46BD" w:rsidP="00CF46BD">
      <w:pPr>
        <w:rPr>
          <w:rFonts w:ascii="Calibri" w:hAnsi="Calibri" w:cs="Calibri"/>
          <w:lang w:eastAsia="en-US"/>
        </w:rPr>
      </w:pPr>
    </w:p>
    <w:p w:rsidR="00CF46BD" w:rsidRDefault="00CF46BD" w:rsidP="00CF46BD">
      <w:pPr>
        <w:rPr>
          <w:rFonts w:ascii="Calibri" w:hAnsi="Calibri" w:cs="Calibri"/>
          <w:lang w:eastAsia="en-US"/>
        </w:rPr>
      </w:pPr>
      <w:r>
        <w:rPr>
          <w:rFonts w:ascii="Calibri" w:hAnsi="Calibri" w:cs="Calibri"/>
          <w:lang w:eastAsia="en-US"/>
        </w:rPr>
        <w:t>I’m trying to work through revising these numbers now, and I’ve confused myself on two, related issues. I’ve got Skype on, if a call is quicker.</w:t>
      </w:r>
    </w:p>
    <w:p w:rsidR="00CF46BD" w:rsidRDefault="00CF46BD" w:rsidP="00CF46BD">
      <w:pPr>
        <w:rPr>
          <w:rFonts w:ascii="Calibri" w:hAnsi="Calibri" w:cs="Calibri"/>
          <w:lang w:eastAsia="en-US"/>
        </w:rPr>
      </w:pPr>
    </w:p>
    <w:p w:rsidR="00CF46BD" w:rsidRDefault="00CF46BD" w:rsidP="00CF46BD">
      <w:pPr>
        <w:pStyle w:val="ListParagraph"/>
        <w:numPr>
          <w:ilvl w:val="0"/>
          <w:numId w:val="1"/>
        </w:numPr>
        <w:rPr>
          <w:rFonts w:eastAsia="Times New Roman"/>
          <w:lang w:eastAsia="en-US"/>
        </w:rPr>
      </w:pPr>
      <w:r>
        <w:rPr>
          <w:rFonts w:eastAsia="Times New Roman"/>
          <w:lang w:eastAsia="en-US"/>
        </w:rPr>
        <w:t xml:space="preserve">The accuracy numbers don’t match between the attached results for Figure 3, and Table 3 (old 5 from Yujun). Which categorical accuracy numbers should we be using when discussing Fig 3? </w:t>
      </w:r>
    </w:p>
    <w:p w:rsidR="00CF46BD" w:rsidRDefault="00CF46BD" w:rsidP="00CF46BD">
      <w:pPr>
        <w:rPr>
          <w:rFonts w:ascii="Calibri" w:hAnsi="Calibri" w:cs="Calibri"/>
          <w:lang w:eastAsia="en-US"/>
        </w:rPr>
      </w:pPr>
    </w:p>
    <w:p w:rsidR="00CF46BD" w:rsidRDefault="00CF46BD" w:rsidP="00CF46BD">
      <w:pPr>
        <w:spacing w:line="480" w:lineRule="auto"/>
        <w:rPr>
          <w:rFonts w:ascii="Garamond" w:hAnsi="Garamond" w:cs="Calibri"/>
          <w:sz w:val="24"/>
          <w:szCs w:val="24"/>
          <w:lang w:eastAsia="zh-TW"/>
        </w:rPr>
      </w:pPr>
      <w:r>
        <w:rPr>
          <w:rFonts w:ascii="Garamond" w:hAnsi="Garamond" w:cs="Calibri"/>
          <w:b/>
          <w:bCs/>
          <w:sz w:val="24"/>
          <w:szCs w:val="24"/>
          <w:lang w:eastAsia="zh-TW"/>
        </w:rPr>
        <w:t>Yujun: (A)</w:t>
      </w:r>
      <w:r>
        <w:rPr>
          <w:rFonts w:ascii="Garamond" w:hAnsi="Garamond" w:cs="Calibri"/>
          <w:sz w:val="24"/>
          <w:szCs w:val="24"/>
          <w:lang w:eastAsia="zh-TW"/>
        </w:rPr>
        <w:t xml:space="preserve"> Our model correctly classifies </w:t>
      </w:r>
      <w:r>
        <w:rPr>
          <w:rFonts w:ascii="Garamond" w:hAnsi="Garamond" w:cs="Calibri"/>
          <w:sz w:val="24"/>
          <w:szCs w:val="24"/>
          <w:highlight w:val="yellow"/>
          <w:lang w:eastAsia="zh-TW"/>
        </w:rPr>
        <w:t>8</w:t>
      </w:r>
      <w:r>
        <w:rPr>
          <w:rFonts w:ascii="Garamond" w:hAnsi="Garamond" w:cs="Calibri"/>
          <w:sz w:val="24"/>
          <w:szCs w:val="24"/>
          <w:highlight w:val="yellow"/>
        </w:rPr>
        <w:t>8</w:t>
      </w:r>
      <w:r>
        <w:rPr>
          <w:rFonts w:ascii="Garamond" w:hAnsi="Garamond" w:cs="Calibri"/>
          <w:sz w:val="24"/>
          <w:szCs w:val="24"/>
          <w:highlight w:val="yellow"/>
          <w:lang w:eastAsia="zh-TW"/>
        </w:rPr>
        <w:t>%</w:t>
      </w:r>
      <w:r w:rsidR="00726FD1">
        <w:rPr>
          <w:rFonts w:ascii="Garamond" w:hAnsi="Garamond" w:cs="Calibri" w:hint="eastAsia"/>
          <w:sz w:val="24"/>
          <w:szCs w:val="24"/>
          <w:highlight w:val="cyan"/>
        </w:rPr>
        <w:t>88</w:t>
      </w:r>
      <w:proofErr w:type="gramStart"/>
      <w:r w:rsidR="00726FD1">
        <w:rPr>
          <w:rFonts w:ascii="Garamond" w:hAnsi="Garamond" w:cs="Calibri" w:hint="eastAsia"/>
          <w:sz w:val="24"/>
          <w:szCs w:val="24"/>
          <w:highlight w:val="cyan"/>
        </w:rPr>
        <w:t>%</w:t>
      </w:r>
      <w:r w:rsidR="00726FD1">
        <w:rPr>
          <w:rFonts w:ascii="Garamond" w:hAnsi="Garamond" w:cs="Calibri"/>
          <w:sz w:val="24"/>
          <w:szCs w:val="24"/>
          <w:lang w:eastAsia="zh-TW"/>
        </w:rPr>
        <w:t xml:space="preserve"> </w:t>
      </w:r>
      <w:r>
        <w:rPr>
          <w:rFonts w:ascii="Garamond" w:hAnsi="Garamond" w:cs="Calibri"/>
          <w:sz w:val="24"/>
          <w:szCs w:val="24"/>
          <w:lang w:eastAsia="zh-TW"/>
        </w:rPr>
        <w:t xml:space="preserve"> of</w:t>
      </w:r>
      <w:proofErr w:type="gramEnd"/>
      <w:r>
        <w:rPr>
          <w:rFonts w:ascii="Garamond" w:hAnsi="Garamond" w:cs="Calibri"/>
          <w:sz w:val="24"/>
          <w:szCs w:val="24"/>
          <w:lang w:eastAsia="zh-TW"/>
        </w:rPr>
        <w:t xml:space="preserve"> the household dietary diversity scores</w:t>
      </w:r>
      <w:r>
        <w:rPr>
          <w:rStyle w:val="CommentReference"/>
          <w:rFonts w:ascii="Garamond" w:hAnsi="Garamond" w:cs="Calibri"/>
          <w:sz w:val="24"/>
          <w:szCs w:val="24"/>
          <w:lang w:eastAsia="zh-TW"/>
        </w:rPr>
        <w:t>.</w:t>
      </w:r>
      <w:r>
        <w:rPr>
          <w:rStyle w:val="CommentReference"/>
          <w:rFonts w:ascii="Garamond" w:hAnsi="Garamond" w:cs="Calibri"/>
          <w:b/>
          <w:bCs/>
          <w:sz w:val="24"/>
          <w:szCs w:val="24"/>
          <w:lang w:eastAsia="zh-TW"/>
        </w:rPr>
        <w:t xml:space="preserve"> </w:t>
      </w:r>
      <w:r>
        <w:rPr>
          <w:rFonts w:ascii="Garamond" w:hAnsi="Garamond" w:cs="Calibri"/>
          <w:b/>
          <w:bCs/>
          <w:sz w:val="24"/>
          <w:szCs w:val="24"/>
          <w:lang w:eastAsia="zh-TW"/>
        </w:rPr>
        <w:t>(B)</w:t>
      </w:r>
      <w:r>
        <w:rPr>
          <w:rFonts w:ascii="Garamond" w:hAnsi="Garamond" w:cs="Calibri"/>
          <w:sz w:val="24"/>
          <w:szCs w:val="24"/>
          <w:lang w:eastAsia="zh-TW"/>
        </w:rPr>
        <w:t xml:space="preserve"> Our model correctly predicts </w:t>
      </w:r>
      <w:r>
        <w:rPr>
          <w:rFonts w:ascii="Garamond" w:hAnsi="Garamond" w:cs="Calibri"/>
          <w:sz w:val="24"/>
          <w:szCs w:val="24"/>
          <w:highlight w:val="yellow"/>
        </w:rPr>
        <w:t>89</w:t>
      </w:r>
      <w:r>
        <w:rPr>
          <w:rFonts w:ascii="Garamond" w:hAnsi="Garamond" w:cs="Calibri"/>
          <w:sz w:val="24"/>
          <w:szCs w:val="24"/>
          <w:highlight w:val="yellow"/>
          <w:lang w:eastAsia="zh-TW"/>
        </w:rPr>
        <w:t>%</w:t>
      </w:r>
      <w:r>
        <w:rPr>
          <w:rFonts w:ascii="Garamond" w:hAnsi="Garamond" w:cs="Calibri"/>
          <w:sz w:val="24"/>
          <w:szCs w:val="24"/>
          <w:lang w:eastAsia="zh-TW"/>
        </w:rPr>
        <w:t xml:space="preserve"> </w:t>
      </w:r>
      <w:r w:rsidR="001507B2">
        <w:rPr>
          <w:rFonts w:ascii="Garamond" w:hAnsi="Garamond" w:cs="Calibri" w:hint="eastAsia"/>
          <w:sz w:val="24"/>
          <w:szCs w:val="24"/>
          <w:highlight w:val="cyan"/>
        </w:rPr>
        <w:t>76</w:t>
      </w:r>
      <w:r w:rsidR="001507B2">
        <w:rPr>
          <w:rFonts w:ascii="Garamond" w:hAnsi="Garamond" w:cs="Calibri" w:hint="eastAsia"/>
          <w:sz w:val="24"/>
          <w:szCs w:val="24"/>
          <w:highlight w:val="cyan"/>
        </w:rPr>
        <w:t>%</w:t>
      </w:r>
      <w:r w:rsidR="001507B2">
        <w:rPr>
          <w:rFonts w:ascii="Garamond" w:hAnsi="Garamond" w:cs="Calibri"/>
          <w:sz w:val="24"/>
          <w:szCs w:val="24"/>
          <w:lang w:eastAsia="zh-TW"/>
        </w:rPr>
        <w:t xml:space="preserve"> </w:t>
      </w:r>
      <w:r>
        <w:rPr>
          <w:rFonts w:ascii="Garamond" w:hAnsi="Garamond" w:cs="Calibri"/>
          <w:sz w:val="24"/>
          <w:szCs w:val="24"/>
          <w:lang w:eastAsia="zh-TW"/>
        </w:rPr>
        <w:t xml:space="preserve">of the log food consumption score categories. </w:t>
      </w:r>
      <w:r>
        <w:rPr>
          <w:rFonts w:ascii="Garamond" w:hAnsi="Garamond" w:cs="Calibri"/>
          <w:b/>
          <w:bCs/>
          <w:sz w:val="24"/>
          <w:szCs w:val="24"/>
          <w:lang w:eastAsia="zh-TW"/>
        </w:rPr>
        <w:t>(C)</w:t>
      </w:r>
      <w:r>
        <w:rPr>
          <w:rFonts w:ascii="Garamond" w:hAnsi="Garamond" w:cs="Calibri"/>
          <w:sz w:val="24"/>
          <w:szCs w:val="24"/>
          <w:lang w:eastAsia="zh-TW"/>
        </w:rPr>
        <w:t xml:space="preserve"> Our model correctly predicts </w:t>
      </w:r>
      <w:r>
        <w:rPr>
          <w:rFonts w:ascii="Garamond" w:hAnsi="Garamond" w:cs="Calibri"/>
          <w:sz w:val="24"/>
          <w:szCs w:val="24"/>
          <w:highlight w:val="yellow"/>
          <w:lang w:eastAsia="zh-TW"/>
        </w:rPr>
        <w:t>6</w:t>
      </w:r>
      <w:r>
        <w:rPr>
          <w:rFonts w:ascii="Garamond" w:hAnsi="Garamond" w:cs="Calibri"/>
          <w:sz w:val="24"/>
          <w:szCs w:val="24"/>
          <w:highlight w:val="yellow"/>
        </w:rPr>
        <w:t>3</w:t>
      </w:r>
      <w:r>
        <w:rPr>
          <w:rFonts w:ascii="Garamond" w:hAnsi="Garamond" w:cs="Calibri"/>
          <w:sz w:val="24"/>
          <w:szCs w:val="24"/>
          <w:highlight w:val="yellow"/>
          <w:lang w:eastAsia="zh-TW"/>
        </w:rPr>
        <w:t>%</w:t>
      </w:r>
      <w:r w:rsidR="00206B7D">
        <w:rPr>
          <w:rFonts w:ascii="Garamond" w:hAnsi="Garamond" w:cs="Calibri"/>
          <w:sz w:val="24"/>
          <w:szCs w:val="24"/>
          <w:highlight w:val="yellow"/>
          <w:lang w:eastAsia="zh-TW"/>
        </w:rPr>
        <w:t xml:space="preserve"> </w:t>
      </w:r>
      <w:r w:rsidR="00206B7D" w:rsidRPr="00206B7D">
        <w:rPr>
          <w:rFonts w:ascii="Garamond" w:hAnsi="Garamond" w:cs="Calibri" w:hint="eastAsia"/>
          <w:sz w:val="24"/>
          <w:szCs w:val="24"/>
          <w:highlight w:val="cyan"/>
        </w:rPr>
        <w:t>65</w:t>
      </w:r>
      <w:r w:rsidR="00206B7D">
        <w:rPr>
          <w:rFonts w:ascii="Garamond" w:hAnsi="Garamond" w:cs="Calibri" w:hint="eastAsia"/>
          <w:sz w:val="24"/>
          <w:szCs w:val="24"/>
          <w:highlight w:val="cyan"/>
        </w:rPr>
        <w:t>%</w:t>
      </w:r>
      <w:r>
        <w:rPr>
          <w:rFonts w:ascii="Garamond" w:hAnsi="Garamond" w:cs="Calibri"/>
          <w:sz w:val="24"/>
          <w:szCs w:val="24"/>
          <w:lang w:eastAsia="zh-TW"/>
        </w:rPr>
        <w:t xml:space="preserve"> of reduced coping strategies index categories.</w:t>
      </w:r>
    </w:p>
    <w:p w:rsidR="00CF46BD" w:rsidRDefault="00CF46BD" w:rsidP="00CF46BD">
      <w:pPr>
        <w:spacing w:line="480" w:lineRule="auto"/>
        <w:rPr>
          <w:rFonts w:ascii="Garamond" w:hAnsi="Garamond" w:cs="Calibri"/>
          <w:sz w:val="24"/>
          <w:szCs w:val="24"/>
          <w:lang w:val="en-CA" w:eastAsia="zh-TW"/>
        </w:rPr>
      </w:pPr>
      <w:r>
        <w:rPr>
          <w:rFonts w:ascii="Garamond" w:hAnsi="Garamond" w:cs="Calibri"/>
          <w:b/>
          <w:bCs/>
          <w:sz w:val="24"/>
          <w:szCs w:val="24"/>
          <w:lang w:eastAsia="zh-TW"/>
        </w:rPr>
        <w:t>Erin: (A)</w:t>
      </w:r>
      <w:r>
        <w:rPr>
          <w:rFonts w:ascii="Garamond" w:hAnsi="Garamond" w:cs="Calibri"/>
          <w:sz w:val="24"/>
          <w:szCs w:val="24"/>
          <w:lang w:eastAsia="zh-TW"/>
        </w:rPr>
        <w:t xml:space="preserve"> Our model correctly classifies </w:t>
      </w:r>
      <w:r>
        <w:rPr>
          <w:rFonts w:ascii="Garamond" w:hAnsi="Garamond" w:cs="Calibri"/>
          <w:sz w:val="24"/>
          <w:szCs w:val="24"/>
          <w:highlight w:val="yellow"/>
          <w:lang w:eastAsia="zh-TW"/>
        </w:rPr>
        <w:t>88%</w:t>
      </w:r>
      <w:r>
        <w:rPr>
          <w:rFonts w:ascii="Garamond" w:hAnsi="Garamond" w:cs="Calibri"/>
          <w:sz w:val="24"/>
          <w:szCs w:val="24"/>
          <w:lang w:eastAsia="zh-TW"/>
        </w:rPr>
        <w:t xml:space="preserve"> of the household dietary diversity scores</w:t>
      </w:r>
      <w:r>
        <w:rPr>
          <w:rStyle w:val="CommentReference"/>
          <w:rFonts w:ascii="Garamond" w:hAnsi="Garamond" w:cs="Calibri"/>
          <w:sz w:val="24"/>
          <w:szCs w:val="24"/>
          <w:lang w:eastAsia="zh-TW"/>
        </w:rPr>
        <w:t>.</w:t>
      </w:r>
      <w:r>
        <w:rPr>
          <w:rStyle w:val="CommentReference"/>
          <w:rFonts w:ascii="Garamond" w:hAnsi="Garamond" w:cs="Calibri"/>
          <w:b/>
          <w:bCs/>
          <w:sz w:val="24"/>
          <w:szCs w:val="24"/>
          <w:lang w:eastAsia="zh-TW"/>
        </w:rPr>
        <w:t xml:space="preserve"> </w:t>
      </w:r>
      <w:r>
        <w:rPr>
          <w:rFonts w:ascii="Garamond" w:hAnsi="Garamond" w:cs="Calibri"/>
          <w:b/>
          <w:bCs/>
          <w:sz w:val="24"/>
          <w:szCs w:val="24"/>
          <w:lang w:eastAsia="zh-TW"/>
        </w:rPr>
        <w:t>(B)</w:t>
      </w:r>
      <w:r>
        <w:rPr>
          <w:rFonts w:ascii="Garamond" w:hAnsi="Garamond" w:cs="Calibri"/>
          <w:sz w:val="24"/>
          <w:szCs w:val="24"/>
          <w:lang w:eastAsia="zh-TW"/>
        </w:rPr>
        <w:t xml:space="preserve"> Our model correctly predicts </w:t>
      </w:r>
      <w:r>
        <w:rPr>
          <w:rFonts w:ascii="Garamond" w:hAnsi="Garamond" w:cs="Calibri"/>
          <w:sz w:val="24"/>
          <w:szCs w:val="24"/>
          <w:highlight w:val="yellow"/>
          <w:lang w:eastAsia="zh-TW"/>
        </w:rPr>
        <w:t>76%</w:t>
      </w:r>
      <w:r>
        <w:rPr>
          <w:rFonts w:ascii="Garamond" w:hAnsi="Garamond" w:cs="Calibri"/>
          <w:sz w:val="24"/>
          <w:szCs w:val="24"/>
          <w:lang w:eastAsia="zh-TW"/>
        </w:rPr>
        <w:t xml:space="preserve"> of the log food consumption score categories. </w:t>
      </w:r>
      <w:r>
        <w:rPr>
          <w:rFonts w:ascii="Garamond" w:hAnsi="Garamond" w:cs="Calibri"/>
          <w:b/>
          <w:bCs/>
          <w:sz w:val="24"/>
          <w:szCs w:val="24"/>
          <w:lang w:eastAsia="zh-TW"/>
        </w:rPr>
        <w:t>(</w:t>
      </w:r>
      <w:proofErr w:type="gramStart"/>
      <w:r>
        <w:rPr>
          <w:rFonts w:ascii="Garamond" w:hAnsi="Garamond" w:cs="Calibri"/>
          <w:b/>
          <w:bCs/>
          <w:sz w:val="24"/>
          <w:szCs w:val="24"/>
          <w:lang w:eastAsia="zh-TW"/>
        </w:rPr>
        <w:t>C )</w:t>
      </w:r>
      <w:proofErr w:type="gramEnd"/>
      <w:r>
        <w:rPr>
          <w:rFonts w:ascii="Garamond" w:hAnsi="Garamond" w:cs="Calibri"/>
          <w:sz w:val="24"/>
          <w:szCs w:val="24"/>
          <w:lang w:eastAsia="zh-TW"/>
        </w:rPr>
        <w:t xml:space="preserve"> Our model correctly predicts </w:t>
      </w:r>
      <w:r>
        <w:rPr>
          <w:rFonts w:ascii="Garamond" w:hAnsi="Garamond" w:cs="Calibri"/>
          <w:sz w:val="24"/>
          <w:szCs w:val="24"/>
          <w:highlight w:val="yellow"/>
          <w:lang w:eastAsia="zh-TW"/>
        </w:rPr>
        <w:t>65%</w:t>
      </w:r>
      <w:r>
        <w:rPr>
          <w:rFonts w:ascii="Garamond" w:hAnsi="Garamond" w:cs="Calibri"/>
          <w:sz w:val="24"/>
          <w:szCs w:val="24"/>
          <w:lang w:eastAsia="zh-TW"/>
        </w:rPr>
        <w:t xml:space="preserve"> of reduced coping strategies index categories</w:t>
      </w:r>
      <w:r>
        <w:rPr>
          <w:rFonts w:ascii="Garamond" w:hAnsi="Garamond" w:cs="Calibri"/>
          <w:sz w:val="24"/>
          <w:szCs w:val="24"/>
          <w:lang w:val="en-CA" w:eastAsia="zh-TW"/>
        </w:rPr>
        <w:t>.</w:t>
      </w:r>
    </w:p>
    <w:p w:rsidR="00626B7B" w:rsidRDefault="00626B7B" w:rsidP="00626B7B">
      <w:pPr>
        <w:spacing w:line="480" w:lineRule="auto"/>
        <w:rPr>
          <w:rFonts w:ascii="Garamond" w:hAnsi="Garamond" w:cs="Calibri"/>
          <w:sz w:val="24"/>
          <w:szCs w:val="24"/>
          <w:lang w:eastAsia="en-US"/>
        </w:rPr>
      </w:pPr>
      <w:r w:rsidRPr="00626B7B">
        <w:rPr>
          <w:rFonts w:ascii="Garamond" w:hAnsi="Garamond" w:cs="Calibri"/>
          <w:sz w:val="24"/>
          <w:szCs w:val="24"/>
          <w:highlight w:val="cyan"/>
          <w:lang w:eastAsia="en-US"/>
        </w:rPr>
        <w:t>E</w:t>
      </w:r>
      <w:r w:rsidRPr="00626B7B">
        <w:rPr>
          <w:rFonts w:ascii="Garamond" w:hAnsi="Garamond" w:cs="Calibri" w:hint="eastAsia"/>
          <w:sz w:val="24"/>
          <w:szCs w:val="24"/>
          <w:highlight w:val="cyan"/>
        </w:rPr>
        <w:t>ri</w:t>
      </w:r>
      <w:r w:rsidRPr="00626B7B">
        <w:rPr>
          <w:rFonts w:ascii="Garamond" w:hAnsi="Garamond" w:cs="Calibri"/>
          <w:sz w:val="24"/>
          <w:szCs w:val="24"/>
          <w:highlight w:val="cyan"/>
          <w:lang w:eastAsia="en-US"/>
        </w:rPr>
        <w:t>n is right!</w:t>
      </w:r>
      <w:r w:rsidR="000F185A">
        <w:rPr>
          <w:rFonts w:ascii="Garamond" w:hAnsi="Garamond" w:cs="Calibri"/>
          <w:sz w:val="24"/>
          <w:szCs w:val="24"/>
          <w:highlight w:val="cyan"/>
          <w:lang w:eastAsia="en-US"/>
        </w:rPr>
        <w:t>!!</w:t>
      </w:r>
      <w:bookmarkStart w:id="0" w:name="_GoBack"/>
      <w:bookmarkEnd w:id="0"/>
    </w:p>
    <w:p w:rsidR="00626B7B" w:rsidRDefault="00EB5979" w:rsidP="00EB5979">
      <w:pPr>
        <w:spacing w:after="160" w:line="259" w:lineRule="auto"/>
        <w:rPr>
          <w:rFonts w:ascii="Garamond" w:hAnsi="Garamond" w:cs="Calibri"/>
          <w:sz w:val="24"/>
          <w:szCs w:val="24"/>
          <w:lang w:eastAsia="zh-TW"/>
        </w:rPr>
      </w:pPr>
      <w:r>
        <w:rPr>
          <w:rFonts w:ascii="Garamond" w:hAnsi="Garamond" w:cs="Calibri"/>
          <w:sz w:val="24"/>
          <w:szCs w:val="24"/>
          <w:lang w:eastAsia="zh-TW"/>
        </w:rPr>
        <w:br w:type="page"/>
      </w:r>
    </w:p>
    <w:p w:rsidR="00CF46BD" w:rsidRDefault="00CF46BD" w:rsidP="00CF46BD">
      <w:pPr>
        <w:pStyle w:val="ListParagraph"/>
        <w:numPr>
          <w:ilvl w:val="0"/>
          <w:numId w:val="1"/>
        </w:numPr>
        <w:rPr>
          <w:rFonts w:eastAsia="Times New Roman"/>
          <w:lang w:eastAsia="en-US"/>
        </w:rPr>
      </w:pPr>
      <w:r>
        <w:rPr>
          <w:rFonts w:eastAsia="Times New Roman"/>
          <w:lang w:eastAsia="en-US"/>
        </w:rPr>
        <w:lastRenderedPageBreak/>
        <w:t xml:space="preserve">For the text below, I’m finding the details about predicting lower and higher than true values complicated (it is probably me). I’m not sure where those numbers come from. I think we want accuracy + over prediction + underprediction = 100%, which would suggest not using Table 3, but rather using the attached data for Fig 3. Below, I’ve left highlighted the numbers I don’t understand (some might not have changed – e.g., correct classification). The </w:t>
      </w:r>
      <w:proofErr w:type="spellStart"/>
      <w:r>
        <w:rPr>
          <w:rFonts w:eastAsia="Times New Roman"/>
          <w:lang w:eastAsia="en-US"/>
        </w:rPr>
        <w:t>unhighlighted</w:t>
      </w:r>
      <w:proofErr w:type="spellEnd"/>
      <w:r>
        <w:rPr>
          <w:rFonts w:eastAsia="Times New Roman"/>
          <w:lang w:eastAsia="en-US"/>
        </w:rPr>
        <w:t xml:space="preserve"> numbers should be correct (Based on the attached excel sheet).</w:t>
      </w:r>
    </w:p>
    <w:p w:rsidR="00235E2E" w:rsidRDefault="00235E2E" w:rsidP="00235E2E">
      <w:pPr>
        <w:rPr>
          <w:rFonts w:eastAsia="Times New Roman"/>
          <w:lang w:eastAsia="en-US"/>
        </w:rPr>
      </w:pPr>
    </w:p>
    <w:p w:rsidR="00235E2E" w:rsidRPr="00235E2E" w:rsidRDefault="00235E2E" w:rsidP="00235E2E">
      <w:pPr>
        <w:ind w:left="360"/>
        <w:rPr>
          <w:rFonts w:eastAsia="Times New Roman"/>
          <w:lang w:eastAsia="en-US"/>
        </w:rPr>
      </w:pPr>
      <w:r>
        <w:rPr>
          <w:rFonts w:eastAsia="Times New Roman"/>
          <w:lang w:eastAsia="en-US"/>
        </w:rPr>
        <w:t xml:space="preserve"> </w:t>
      </w:r>
    </w:p>
    <w:p w:rsidR="00522D34" w:rsidRDefault="00522D34" w:rsidP="00522D34">
      <w:pPr>
        <w:ind w:left="360"/>
        <w:rPr>
          <w:rFonts w:ascii="Garamond" w:hAnsi="Garamond" w:cs="Calibri"/>
          <w:sz w:val="24"/>
          <w:szCs w:val="24"/>
          <w:highlight w:val="cyan"/>
          <w:lang w:val="en-CA" w:eastAsia="zh-TW"/>
        </w:rPr>
      </w:pPr>
      <w:r w:rsidRPr="00522D34">
        <w:rPr>
          <w:rFonts w:ascii="Garamond" w:hAnsi="Garamond" w:cs="Calibri"/>
          <w:sz w:val="24"/>
          <w:szCs w:val="24"/>
          <w:highlight w:val="cyan"/>
          <w:lang w:val="en-CA" w:eastAsia="zh-TW"/>
        </w:rPr>
        <w:t>88% have lower than actual HDDS values and 12% have higher values than their true level</w:t>
      </w:r>
      <w:proofErr w:type="gramStart"/>
      <w:r w:rsidRPr="00522D34">
        <w:rPr>
          <w:rFonts w:ascii="Garamond" w:hAnsi="Garamond" w:cs="Calibri"/>
          <w:sz w:val="24"/>
          <w:szCs w:val="24"/>
          <w:highlight w:val="cyan"/>
          <w:lang w:val="en-CA" w:eastAsia="zh-TW"/>
        </w:rPr>
        <w:t xml:space="preserve"> </w:t>
      </w:r>
      <w:r>
        <w:rPr>
          <w:rFonts w:ascii="Garamond" w:hAnsi="Garamond" w:cs="Calibri"/>
          <w:sz w:val="24"/>
          <w:szCs w:val="24"/>
          <w:highlight w:val="cyan"/>
          <w:lang w:val="en-CA" w:eastAsia="zh-TW"/>
        </w:rPr>
        <w:t xml:space="preserve"> </w:t>
      </w:r>
      <w:r w:rsidR="00D349AA">
        <w:rPr>
          <w:rFonts w:ascii="Garamond" w:hAnsi="Garamond" w:cs="Calibri"/>
          <w:sz w:val="24"/>
          <w:szCs w:val="24"/>
          <w:highlight w:val="cyan"/>
          <w:lang w:val="en-CA" w:eastAsia="zh-TW"/>
        </w:rPr>
        <w:t xml:space="preserve"> (</w:t>
      </w:r>
      <w:proofErr w:type="gramEnd"/>
      <w:r w:rsidR="00D349AA">
        <w:rPr>
          <w:rFonts w:ascii="Garamond" w:hAnsi="Garamond" w:cs="Calibri"/>
          <w:sz w:val="24"/>
          <w:szCs w:val="24"/>
          <w:highlight w:val="cyan"/>
          <w:lang w:val="en-CA" w:eastAsia="zh-TW"/>
        </w:rPr>
        <w:t xml:space="preserve">This number is </w:t>
      </w:r>
      <w:r w:rsidR="006256C3">
        <w:rPr>
          <w:rFonts w:ascii="Garamond" w:hAnsi="Garamond" w:cs="Calibri"/>
          <w:sz w:val="24"/>
          <w:szCs w:val="24"/>
          <w:highlight w:val="cyan"/>
          <w:lang w:val="en-CA" w:eastAsia="zh-TW"/>
        </w:rPr>
        <w:t xml:space="preserve">basically comparing prediction with the 45 degree line, regardless of the </w:t>
      </w:r>
      <w:proofErr w:type="spellStart"/>
      <w:r w:rsidR="006256C3">
        <w:rPr>
          <w:rFonts w:ascii="Garamond" w:hAnsi="Garamond" w:cs="Calibri"/>
          <w:sz w:val="24"/>
          <w:szCs w:val="24"/>
          <w:highlight w:val="cyan"/>
          <w:lang w:val="en-CA" w:eastAsia="zh-TW"/>
        </w:rPr>
        <w:t>catogories</w:t>
      </w:r>
      <w:proofErr w:type="spellEnd"/>
      <w:r w:rsidR="006256C3">
        <w:rPr>
          <w:rFonts w:ascii="Garamond" w:hAnsi="Garamond" w:cs="Calibri"/>
          <w:sz w:val="24"/>
          <w:szCs w:val="24"/>
          <w:highlight w:val="cyan"/>
          <w:lang w:val="en-CA" w:eastAsia="zh-TW"/>
        </w:rPr>
        <w:t>.)</w:t>
      </w:r>
    </w:p>
    <w:p w:rsidR="008C0A23" w:rsidRDefault="008C0A23" w:rsidP="00522D34">
      <w:pPr>
        <w:ind w:left="360"/>
        <w:rPr>
          <w:rFonts w:ascii="Garamond" w:hAnsi="Garamond" w:cs="Calibri"/>
          <w:sz w:val="24"/>
          <w:szCs w:val="24"/>
          <w:highlight w:val="cyan"/>
          <w:lang w:val="en-CA" w:eastAsia="zh-TW"/>
        </w:rPr>
      </w:pPr>
      <w:r>
        <w:rPr>
          <w:rFonts w:ascii="Garamond" w:hAnsi="Garamond" w:cs="Calibri"/>
          <w:sz w:val="24"/>
          <w:szCs w:val="24"/>
          <w:highlight w:val="cyan"/>
          <w:lang w:val="en-CA" w:eastAsia="zh-TW"/>
        </w:rPr>
        <w:t xml:space="preserve">The other numbers have been updated above </w:t>
      </w:r>
    </w:p>
    <w:p w:rsidR="008C0A23" w:rsidRPr="00522D34" w:rsidRDefault="008C0A23" w:rsidP="00522D34">
      <w:pPr>
        <w:ind w:left="360"/>
        <w:rPr>
          <w:rFonts w:ascii="Garamond" w:hAnsi="Garamond" w:cs="Calibri"/>
          <w:sz w:val="24"/>
          <w:szCs w:val="24"/>
          <w:highlight w:val="cyan"/>
          <w:lang w:val="en-CA" w:eastAsia="zh-TW"/>
        </w:rPr>
      </w:pPr>
    </w:p>
    <w:p w:rsidR="00CF46BD" w:rsidRDefault="00522D34" w:rsidP="00CF46BD">
      <w:pPr>
        <w:rPr>
          <w:rFonts w:ascii="Calibri" w:hAnsi="Calibri" w:cs="Calibri"/>
          <w:lang w:eastAsia="en-US"/>
        </w:rPr>
      </w:pPr>
      <w:r>
        <w:rPr>
          <w:rFonts w:ascii="Calibri" w:hAnsi="Calibri" w:cs="Calibri"/>
          <w:lang w:eastAsia="en-US"/>
        </w:rPr>
        <w:tab/>
      </w:r>
    </w:p>
    <w:p w:rsidR="00522D34" w:rsidRDefault="00522D34" w:rsidP="00CF46BD">
      <w:pPr>
        <w:rPr>
          <w:rFonts w:ascii="Calibri" w:hAnsi="Calibri" w:cs="Calibri"/>
          <w:lang w:eastAsia="en-US"/>
        </w:rPr>
      </w:pPr>
    </w:p>
    <w:p w:rsidR="00CF46BD" w:rsidRDefault="00CF46BD" w:rsidP="00CF46BD">
      <w:pPr>
        <w:spacing w:line="480" w:lineRule="auto"/>
        <w:ind w:left="720"/>
        <w:rPr>
          <w:rFonts w:ascii="Garamond" w:hAnsi="Garamond" w:cs="Calibri"/>
          <w:sz w:val="24"/>
          <w:szCs w:val="24"/>
          <w:lang w:val="en-CA" w:eastAsia="en-US"/>
        </w:rPr>
      </w:pPr>
      <w:r>
        <w:rPr>
          <w:rFonts w:ascii="Garamond" w:hAnsi="Garamond" w:cs="Calibri"/>
          <w:sz w:val="24"/>
          <w:szCs w:val="24"/>
          <w:lang w:eastAsia="zh-TW"/>
        </w:rPr>
        <w:t xml:space="preserve">While </w:t>
      </w:r>
      <w:r>
        <w:rPr>
          <w:rFonts w:ascii="Garamond" w:hAnsi="Garamond" w:cs="Calibri"/>
          <w:sz w:val="24"/>
          <w:szCs w:val="24"/>
          <w:lang w:val="en-CA" w:eastAsia="zh-TW"/>
        </w:rPr>
        <w:t xml:space="preserve">our model tends to under-predict food security in the middle-range of the distribution (we predict </w:t>
      </w:r>
      <w:r>
        <w:rPr>
          <w:rFonts w:ascii="Garamond" w:hAnsi="Garamond" w:cs="Calibri"/>
          <w:sz w:val="24"/>
          <w:szCs w:val="24"/>
          <w:highlight w:val="yellow"/>
          <w:lang w:val="en-CA" w:eastAsia="zh-TW"/>
        </w:rPr>
        <w:t>88% have lower than actual HDDS values and 12% have higher values than their true level</w:t>
      </w:r>
      <w:r>
        <w:rPr>
          <w:rFonts w:ascii="Garamond" w:hAnsi="Garamond" w:cs="Calibri"/>
          <w:sz w:val="24"/>
          <w:szCs w:val="24"/>
          <w:lang w:val="en-CA" w:eastAsia="zh-TW"/>
        </w:rPr>
        <w:t xml:space="preserve">), </w:t>
      </w:r>
      <w:r>
        <w:rPr>
          <w:rFonts w:ascii="Garamond" w:hAnsi="Garamond" w:cs="Calibri"/>
          <w:sz w:val="24"/>
          <w:szCs w:val="24"/>
          <w:lang w:eastAsia="zh-TW"/>
        </w:rPr>
        <w:t xml:space="preserve">we correctly classify the food security category of 88% of the sample, </w:t>
      </w:r>
      <w:r>
        <w:rPr>
          <w:rFonts w:ascii="Garamond" w:hAnsi="Garamond" w:cs="Calibri"/>
          <w:sz w:val="24"/>
          <w:szCs w:val="24"/>
          <w:lang w:val="en-CA" w:eastAsia="zh-TW"/>
        </w:rPr>
        <w:t xml:space="preserve">outperforming the simple assumption of all households being in the largest category (medium dietary diversity), which would correctly </w:t>
      </w:r>
      <w:r>
        <w:rPr>
          <w:rFonts w:ascii="Garamond" w:hAnsi="Garamond" w:cs="Calibri"/>
          <w:sz w:val="24"/>
          <w:szCs w:val="24"/>
          <w:highlight w:val="yellow"/>
          <w:lang w:val="en-CA" w:eastAsia="zh-TW"/>
        </w:rPr>
        <w:t>categorize 78%.</w:t>
      </w:r>
      <w:r>
        <w:rPr>
          <w:rFonts w:ascii="Garamond" w:hAnsi="Garamond" w:cs="Calibri"/>
          <w:sz w:val="24"/>
          <w:szCs w:val="24"/>
          <w:lang w:val="en-CA" w:eastAsia="zh-TW"/>
        </w:rPr>
        <w:t xml:space="preserve"> </w:t>
      </w:r>
      <w:r>
        <w:rPr>
          <w:rFonts w:ascii="Garamond" w:hAnsi="Garamond" w:cs="Calibri"/>
          <w:sz w:val="24"/>
          <w:szCs w:val="24"/>
          <w:lang w:eastAsia="zh-TW"/>
        </w:rPr>
        <w:t xml:space="preserve">Similarly, we observe more type I than type II errors (11% versus than less than 1%); thus, our model misses very few clusters that are truly food insecure. </w:t>
      </w:r>
    </w:p>
    <w:p w:rsidR="00CF46BD" w:rsidRDefault="00CF46BD" w:rsidP="00CF46BD">
      <w:pPr>
        <w:pStyle w:val="Paragraph"/>
        <w:spacing w:before="0" w:line="480" w:lineRule="auto"/>
        <w:ind w:left="720" w:firstLine="0"/>
        <w:rPr>
          <w:rFonts w:ascii="Garamond" w:hAnsi="Garamond"/>
          <w:b/>
          <w:bCs/>
        </w:rPr>
      </w:pPr>
    </w:p>
    <w:p w:rsidR="00CF46BD" w:rsidRDefault="00CF46BD" w:rsidP="00CF46BD">
      <w:pPr>
        <w:spacing w:line="480" w:lineRule="auto"/>
        <w:ind w:left="720"/>
        <w:rPr>
          <w:rFonts w:ascii="Garamond" w:hAnsi="Garamond" w:cs="Calibri"/>
          <w:sz w:val="24"/>
          <w:szCs w:val="24"/>
          <w:lang w:val="en-CA" w:eastAsia="zh-TW"/>
        </w:rPr>
      </w:pPr>
      <w:r>
        <w:rPr>
          <w:rFonts w:ascii="Garamond" w:hAnsi="Garamond" w:cs="Calibri"/>
          <w:sz w:val="24"/>
          <w:szCs w:val="24"/>
          <w:lang w:val="en-CA" w:eastAsia="zh-TW"/>
        </w:rPr>
        <w:t xml:space="preserve">For FCS, shown in Fig. 3B, the model slightly under-predicts food security for </w:t>
      </w:r>
      <w:proofErr w:type="gramStart"/>
      <w:r>
        <w:rPr>
          <w:rFonts w:ascii="Garamond" w:hAnsi="Garamond" w:cs="Calibri"/>
          <w:sz w:val="24"/>
          <w:szCs w:val="24"/>
          <w:lang w:val="en-CA" w:eastAsia="zh-TW"/>
        </w:rPr>
        <w:t>the majority of</w:t>
      </w:r>
      <w:proofErr w:type="gramEnd"/>
      <w:r>
        <w:rPr>
          <w:rFonts w:ascii="Garamond" w:hAnsi="Garamond" w:cs="Calibri"/>
          <w:sz w:val="24"/>
          <w:szCs w:val="24"/>
          <w:lang w:val="en-CA" w:eastAsia="zh-TW"/>
        </w:rPr>
        <w:t xml:space="preserve"> the sample (we predict </w:t>
      </w:r>
      <w:r>
        <w:rPr>
          <w:rFonts w:ascii="Garamond" w:hAnsi="Garamond" w:cs="Calibri"/>
          <w:sz w:val="24"/>
          <w:szCs w:val="24"/>
          <w:highlight w:val="yellow"/>
          <w:lang w:val="en-CA"/>
        </w:rPr>
        <w:t>70</w:t>
      </w:r>
      <w:r>
        <w:rPr>
          <w:rFonts w:ascii="Garamond" w:hAnsi="Garamond" w:cs="Calibri"/>
          <w:sz w:val="24"/>
          <w:szCs w:val="24"/>
          <w:highlight w:val="yellow"/>
          <w:lang w:val="en-CA" w:eastAsia="zh-TW"/>
        </w:rPr>
        <w:t>% have lower FCS values than their true level and 30%</w:t>
      </w:r>
      <w:r>
        <w:rPr>
          <w:rFonts w:ascii="Garamond" w:hAnsi="Garamond" w:cs="Calibri"/>
          <w:sz w:val="24"/>
          <w:szCs w:val="24"/>
          <w:lang w:val="en-CA" w:eastAsia="zh-TW"/>
        </w:rPr>
        <w:t xml:space="preserve"> have higher). The model performs especially well for households in the lowest food security category in the 2013 data (“borderline”), correctly classifying </w:t>
      </w:r>
      <w:r>
        <w:rPr>
          <w:rFonts w:ascii="Garamond" w:hAnsi="Garamond" w:cs="Calibri"/>
          <w:sz w:val="24"/>
          <w:szCs w:val="24"/>
          <w:highlight w:val="yellow"/>
          <w:lang w:val="en-CA" w:eastAsia="zh-TW"/>
        </w:rPr>
        <w:t xml:space="preserve">77% of the most food insecure clusters. </w:t>
      </w:r>
      <w:r>
        <w:rPr>
          <w:rFonts w:ascii="Garamond" w:hAnsi="Garamond" w:cs="Calibri"/>
          <w:sz w:val="24"/>
          <w:szCs w:val="24"/>
          <w:lang w:val="en-CA" w:eastAsia="zh-TW"/>
        </w:rPr>
        <w:t xml:space="preserve">Overall, we correctly predict 88% of the cluster categories, under-estimating the food security category of 11% of the sample (area IV), and over-estimating in less than 1% (area I). This result is much better than random, which would correctly categorize only one third of households. On the </w:t>
      </w:r>
      <w:r>
        <w:rPr>
          <w:rFonts w:ascii="Garamond" w:hAnsi="Garamond" w:cs="Calibri"/>
          <w:sz w:val="24"/>
          <w:szCs w:val="24"/>
          <w:lang w:val="en-CA" w:eastAsia="zh-TW"/>
        </w:rPr>
        <w:lastRenderedPageBreak/>
        <w:t xml:space="preserve">other hand, </w:t>
      </w:r>
      <w:proofErr w:type="gramStart"/>
      <w:r>
        <w:rPr>
          <w:rFonts w:ascii="Garamond" w:hAnsi="Garamond" w:cs="Calibri"/>
          <w:sz w:val="24"/>
          <w:szCs w:val="24"/>
          <w:lang w:val="en-CA" w:eastAsia="zh-TW"/>
        </w:rPr>
        <w:t>due to the fact that</w:t>
      </w:r>
      <w:proofErr w:type="gramEnd"/>
      <w:r>
        <w:rPr>
          <w:rFonts w:ascii="Garamond" w:hAnsi="Garamond" w:cs="Calibri"/>
          <w:sz w:val="24"/>
          <w:szCs w:val="24"/>
          <w:lang w:val="en-CA" w:eastAsia="zh-TW"/>
        </w:rPr>
        <w:t xml:space="preserve"> the cut-off levels used by humanitarian agencies are designed to capture relatively rare events, our prediction performs slightly worse than if we simply assumed that each cluster was food secure, on average, which would correctly </w:t>
      </w:r>
      <w:r>
        <w:rPr>
          <w:rFonts w:ascii="Garamond" w:hAnsi="Garamond" w:cs="Calibri"/>
          <w:sz w:val="24"/>
          <w:szCs w:val="24"/>
          <w:highlight w:val="yellow"/>
          <w:lang w:val="en-CA" w:eastAsia="zh-TW"/>
        </w:rPr>
        <w:t>categorize 74% of</w:t>
      </w:r>
      <w:r>
        <w:rPr>
          <w:rFonts w:ascii="Garamond" w:hAnsi="Garamond" w:cs="Calibri"/>
          <w:sz w:val="24"/>
          <w:szCs w:val="24"/>
          <w:lang w:val="en-CA" w:eastAsia="zh-TW"/>
        </w:rPr>
        <w:t xml:space="preserve"> the clusters.</w:t>
      </w:r>
    </w:p>
    <w:p w:rsidR="00CF46BD" w:rsidRDefault="00CF46BD" w:rsidP="00CF46BD">
      <w:pPr>
        <w:pStyle w:val="Paragraph"/>
        <w:spacing w:before="0" w:line="480" w:lineRule="auto"/>
        <w:ind w:left="720" w:firstLine="0"/>
        <w:rPr>
          <w:rFonts w:ascii="Garamond" w:hAnsi="Garamond"/>
          <w:b/>
          <w:bCs/>
        </w:rPr>
      </w:pPr>
    </w:p>
    <w:p w:rsidR="00CF46BD" w:rsidRDefault="00CF46BD" w:rsidP="00CF46BD">
      <w:pPr>
        <w:spacing w:line="480" w:lineRule="auto"/>
        <w:ind w:left="720"/>
        <w:rPr>
          <w:rFonts w:ascii="Garamond" w:hAnsi="Garamond" w:cs="Calibri"/>
          <w:sz w:val="24"/>
          <w:szCs w:val="24"/>
          <w:lang w:val="en-CA" w:eastAsia="zh-TW"/>
        </w:rPr>
      </w:pPr>
      <w:r>
        <w:rPr>
          <w:rFonts w:ascii="Garamond" w:hAnsi="Garamond" w:cs="Calibri"/>
          <w:sz w:val="24"/>
          <w:szCs w:val="24"/>
          <w:lang w:val="en-CA" w:eastAsia="zh-TW"/>
        </w:rPr>
        <w:t xml:space="preserve">For </w:t>
      </w:r>
      <w:proofErr w:type="spellStart"/>
      <w:r>
        <w:rPr>
          <w:rFonts w:ascii="Garamond" w:hAnsi="Garamond" w:cs="Calibri"/>
          <w:sz w:val="24"/>
          <w:szCs w:val="24"/>
          <w:lang w:val="en-CA" w:eastAsia="zh-TW"/>
        </w:rPr>
        <w:t>rCSI</w:t>
      </w:r>
      <w:proofErr w:type="spellEnd"/>
      <w:r>
        <w:rPr>
          <w:rFonts w:ascii="Garamond" w:hAnsi="Garamond" w:cs="Calibri"/>
          <w:sz w:val="24"/>
          <w:szCs w:val="24"/>
          <w:lang w:val="en-CA" w:eastAsia="zh-TW"/>
        </w:rPr>
        <w:t xml:space="preserve">, shown in Fig. 3C, our best model obtains 65% accuracy, under-predicting the food security status of 29% of households, and over-predicting food security for 6%. As with the HDDS, our best model does better than the naïve prediction that all clusters are food secure on average, which would correctly </w:t>
      </w:r>
      <w:r>
        <w:rPr>
          <w:rFonts w:ascii="Garamond" w:hAnsi="Garamond" w:cs="Calibri"/>
          <w:sz w:val="24"/>
          <w:szCs w:val="24"/>
          <w:highlight w:val="yellow"/>
          <w:lang w:val="en-CA" w:eastAsia="zh-TW"/>
        </w:rPr>
        <w:t>classify 56%,</w:t>
      </w:r>
      <w:r>
        <w:rPr>
          <w:rFonts w:ascii="Garamond" w:hAnsi="Garamond" w:cs="Calibri"/>
          <w:sz w:val="24"/>
          <w:szCs w:val="24"/>
          <w:lang w:val="en-CA" w:eastAsia="zh-TW"/>
        </w:rPr>
        <w:t xml:space="preserve"> and considerably better than random allocation, which would only accurately predict the food security category of one quarter of the clusters.</w:t>
      </w:r>
    </w:p>
    <w:p w:rsidR="00995822" w:rsidRDefault="00995822">
      <w:pPr>
        <w:spacing w:after="160" w:line="259" w:lineRule="auto"/>
        <w:rPr>
          <w:lang w:val="en-CA"/>
        </w:rPr>
      </w:pPr>
      <w:r>
        <w:rPr>
          <w:lang w:val="en-CA"/>
        </w:rPr>
        <w:br w:type="page"/>
      </w:r>
    </w:p>
    <w:p w:rsidR="005B03FE" w:rsidRDefault="001B5417">
      <w:pPr>
        <w:rPr>
          <w:highlight w:val="cyan"/>
          <w:lang w:val="en-CA"/>
        </w:rPr>
      </w:pPr>
      <w:r w:rsidRPr="00745B77">
        <w:rPr>
          <w:highlight w:val="cyan"/>
          <w:lang w:val="en-CA"/>
        </w:rPr>
        <w:lastRenderedPageBreak/>
        <w:t xml:space="preserve">Corrected </w:t>
      </w:r>
      <w:proofErr w:type="gramStart"/>
      <w:r w:rsidRPr="00745B77">
        <w:rPr>
          <w:highlight w:val="cyan"/>
          <w:lang w:val="en-CA"/>
        </w:rPr>
        <w:t>Table  5</w:t>
      </w:r>
      <w:proofErr w:type="gramEnd"/>
    </w:p>
    <w:p w:rsidR="00745B77" w:rsidRDefault="00745B77">
      <w:pPr>
        <w:rPr>
          <w:lang w:val="en-CA"/>
        </w:rPr>
      </w:pPr>
    </w:p>
    <w:tbl>
      <w:tblPr>
        <w:tblW w:w="5417" w:type="pct"/>
        <w:tblInd w:w="-270" w:type="dxa"/>
        <w:tblLayout w:type="fixed"/>
        <w:tblLook w:val="04A0" w:firstRow="1" w:lastRow="0" w:firstColumn="1" w:lastColumn="0" w:noHBand="0" w:noVBand="1"/>
      </w:tblPr>
      <w:tblGrid>
        <w:gridCol w:w="2216"/>
        <w:gridCol w:w="31"/>
        <w:gridCol w:w="820"/>
        <w:gridCol w:w="799"/>
        <w:gridCol w:w="637"/>
        <w:gridCol w:w="811"/>
        <w:gridCol w:w="809"/>
        <w:gridCol w:w="719"/>
        <w:gridCol w:w="809"/>
        <w:gridCol w:w="723"/>
        <w:gridCol w:w="723"/>
        <w:gridCol w:w="264"/>
      </w:tblGrid>
      <w:tr w:rsidR="00271320" w:rsidRPr="00271320" w:rsidTr="006C5231">
        <w:trPr>
          <w:trHeight w:val="315"/>
        </w:trPr>
        <w:tc>
          <w:tcPr>
            <w:tcW w:w="1201" w:type="pct"/>
            <w:gridSpan w:val="2"/>
            <w:vMerge w:val="restart"/>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Calibri" w:eastAsia="Times New Roman" w:hAnsi="Calibri" w:cs="Calibri"/>
                <w:color w:val="000000"/>
              </w:rPr>
            </w:pPr>
            <w:r w:rsidRPr="00271320">
              <w:rPr>
                <w:rFonts w:ascii="Calibri" w:eastAsia="宋体" w:hAnsi="Calibri" w:cs="Calibri"/>
                <w:color w:val="000000"/>
                <w:lang w:eastAsia="en-US"/>
              </w:rPr>
              <w:t> </w:t>
            </w:r>
          </w:p>
        </w:tc>
        <w:tc>
          <w:tcPr>
            <w:tcW w:w="1204" w:type="pct"/>
            <w:gridSpan w:val="3"/>
            <w:vMerge w:val="restart"/>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b/>
                <w:bCs/>
                <w:color w:val="000000"/>
                <w:sz w:val="20"/>
                <w:szCs w:val="20"/>
                <w:lang w:eastAsia="en-US"/>
              </w:rPr>
            </w:pPr>
            <w:r w:rsidRPr="00271320">
              <w:rPr>
                <w:rFonts w:ascii="Garamond" w:eastAsia="宋体" w:hAnsi="Garamond" w:cs="Calibri"/>
                <w:b/>
                <w:bCs/>
                <w:color w:val="000000"/>
                <w:sz w:val="20"/>
                <w:szCs w:val="20"/>
                <w:lang w:eastAsia="en-US"/>
              </w:rPr>
              <w:t>R squared</w:t>
            </w:r>
          </w:p>
        </w:tc>
        <w:tc>
          <w:tcPr>
            <w:tcW w:w="1249" w:type="pct"/>
            <w:gridSpan w:val="3"/>
            <w:tcBorders>
              <w:top w:val="single" w:sz="8" w:space="0" w:color="7F7F7F"/>
              <w:left w:val="nil"/>
              <w:bottom w:val="nil"/>
              <w:right w:val="nil"/>
            </w:tcBorders>
            <w:shd w:val="clear" w:color="auto" w:fill="auto"/>
            <w:noWrap/>
            <w:vAlign w:val="center"/>
            <w:hideMark/>
          </w:tcPr>
          <w:p w:rsidR="00271320" w:rsidRPr="00271320" w:rsidRDefault="00271320" w:rsidP="00271320">
            <w:pPr>
              <w:jc w:val="center"/>
              <w:rPr>
                <w:rFonts w:ascii="Garamond" w:eastAsia="宋体" w:hAnsi="Garamond" w:cs="Calibri"/>
                <w:b/>
                <w:bCs/>
                <w:color w:val="000000"/>
                <w:sz w:val="20"/>
                <w:szCs w:val="20"/>
                <w:lang w:eastAsia="en-US"/>
              </w:rPr>
            </w:pPr>
            <w:r w:rsidRPr="00271320">
              <w:rPr>
                <w:rFonts w:ascii="Garamond" w:eastAsia="宋体" w:hAnsi="Garamond" w:cs="Calibri"/>
                <w:b/>
                <w:bCs/>
                <w:color w:val="000000"/>
                <w:sz w:val="20"/>
                <w:szCs w:val="20"/>
                <w:lang w:eastAsia="en-US"/>
              </w:rPr>
              <w:t>Sensitivity of food</w:t>
            </w:r>
          </w:p>
        </w:tc>
        <w:tc>
          <w:tcPr>
            <w:tcW w:w="1345" w:type="pct"/>
            <w:gridSpan w:val="4"/>
            <w:tcBorders>
              <w:top w:val="single" w:sz="8" w:space="0" w:color="7F7F7F"/>
              <w:left w:val="nil"/>
              <w:bottom w:val="nil"/>
              <w:right w:val="nil"/>
            </w:tcBorders>
            <w:shd w:val="clear" w:color="auto" w:fill="auto"/>
            <w:noWrap/>
            <w:vAlign w:val="center"/>
            <w:hideMark/>
          </w:tcPr>
          <w:p w:rsidR="00271320" w:rsidRPr="00271320" w:rsidRDefault="00271320" w:rsidP="00271320">
            <w:pPr>
              <w:jc w:val="center"/>
              <w:rPr>
                <w:rFonts w:ascii="Garamond" w:eastAsia="宋体" w:hAnsi="Garamond" w:cs="Calibri"/>
                <w:b/>
                <w:bCs/>
                <w:color w:val="000000"/>
                <w:sz w:val="20"/>
                <w:szCs w:val="20"/>
                <w:lang w:eastAsia="en-US"/>
              </w:rPr>
            </w:pPr>
            <w:r w:rsidRPr="00271320">
              <w:rPr>
                <w:rFonts w:ascii="Garamond" w:eastAsia="宋体" w:hAnsi="Garamond" w:cs="Calibri"/>
                <w:b/>
                <w:bCs/>
                <w:color w:val="000000"/>
                <w:sz w:val="20"/>
                <w:szCs w:val="20"/>
                <w:lang w:eastAsia="en-US"/>
              </w:rPr>
              <w:t>Categorical</w:t>
            </w:r>
          </w:p>
        </w:tc>
      </w:tr>
      <w:tr w:rsidR="00271320" w:rsidRPr="00271320" w:rsidTr="006C5231">
        <w:trPr>
          <w:trHeight w:val="330"/>
        </w:trPr>
        <w:tc>
          <w:tcPr>
            <w:tcW w:w="1201" w:type="pct"/>
            <w:gridSpan w:val="2"/>
            <w:vMerge/>
            <w:tcBorders>
              <w:top w:val="single" w:sz="8" w:space="0" w:color="7F7F7F"/>
              <w:left w:val="nil"/>
              <w:bottom w:val="single" w:sz="8" w:space="0" w:color="7F7F7F"/>
              <w:right w:val="nil"/>
            </w:tcBorders>
            <w:vAlign w:val="center"/>
            <w:hideMark/>
          </w:tcPr>
          <w:p w:rsidR="00271320" w:rsidRPr="00271320" w:rsidRDefault="00271320" w:rsidP="00271320">
            <w:pPr>
              <w:rPr>
                <w:rFonts w:ascii="Calibri" w:eastAsia="宋体" w:hAnsi="Calibri" w:cs="Calibri"/>
                <w:color w:val="000000"/>
                <w:lang w:eastAsia="en-US"/>
              </w:rPr>
            </w:pPr>
          </w:p>
        </w:tc>
        <w:tc>
          <w:tcPr>
            <w:tcW w:w="1204" w:type="pct"/>
            <w:gridSpan w:val="3"/>
            <w:vMerge/>
            <w:tcBorders>
              <w:top w:val="single" w:sz="8" w:space="0" w:color="7F7F7F"/>
              <w:left w:val="nil"/>
              <w:bottom w:val="single" w:sz="8" w:space="0" w:color="7F7F7F"/>
              <w:right w:val="nil"/>
            </w:tcBorders>
            <w:vAlign w:val="center"/>
            <w:hideMark/>
          </w:tcPr>
          <w:p w:rsidR="00271320" w:rsidRPr="00271320" w:rsidRDefault="00271320" w:rsidP="00271320">
            <w:pPr>
              <w:rPr>
                <w:rFonts w:ascii="Garamond" w:eastAsia="宋体" w:hAnsi="Garamond" w:cs="Calibri"/>
                <w:b/>
                <w:bCs/>
                <w:color w:val="000000"/>
                <w:sz w:val="20"/>
                <w:szCs w:val="20"/>
                <w:lang w:eastAsia="en-US"/>
              </w:rPr>
            </w:pPr>
          </w:p>
        </w:tc>
        <w:tc>
          <w:tcPr>
            <w:tcW w:w="1249" w:type="pct"/>
            <w:gridSpan w:val="3"/>
            <w:tcBorders>
              <w:top w:val="nil"/>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b/>
                <w:bCs/>
                <w:color w:val="000000"/>
                <w:sz w:val="20"/>
                <w:szCs w:val="20"/>
                <w:lang w:eastAsia="en-US"/>
              </w:rPr>
            </w:pPr>
            <w:r w:rsidRPr="00271320">
              <w:rPr>
                <w:rFonts w:ascii="Garamond" w:eastAsia="宋体" w:hAnsi="Garamond" w:cs="Calibri"/>
                <w:b/>
                <w:bCs/>
                <w:color w:val="000000"/>
                <w:sz w:val="20"/>
                <w:szCs w:val="20"/>
                <w:lang w:eastAsia="en-US"/>
              </w:rPr>
              <w:t>Insecure Category</w:t>
            </w:r>
          </w:p>
        </w:tc>
        <w:tc>
          <w:tcPr>
            <w:tcW w:w="1345" w:type="pct"/>
            <w:gridSpan w:val="4"/>
            <w:tcBorders>
              <w:top w:val="nil"/>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b/>
                <w:bCs/>
                <w:color w:val="000000"/>
                <w:sz w:val="20"/>
                <w:szCs w:val="20"/>
                <w:lang w:eastAsia="en-US"/>
              </w:rPr>
            </w:pPr>
            <w:r w:rsidRPr="00271320">
              <w:rPr>
                <w:rFonts w:ascii="Garamond" w:eastAsia="宋体" w:hAnsi="Garamond" w:cs="Calibri"/>
                <w:b/>
                <w:bCs/>
                <w:color w:val="000000"/>
                <w:sz w:val="20"/>
                <w:szCs w:val="20"/>
                <w:lang w:eastAsia="en-US"/>
              </w:rPr>
              <w:t>accuracy</w:t>
            </w:r>
          </w:p>
        </w:tc>
      </w:tr>
      <w:tr w:rsidR="00271320" w:rsidRPr="00271320" w:rsidTr="006C5231">
        <w:trPr>
          <w:trHeight w:val="330"/>
        </w:trPr>
        <w:tc>
          <w:tcPr>
            <w:tcW w:w="1184" w:type="pct"/>
            <w:tcBorders>
              <w:top w:val="nil"/>
              <w:left w:val="nil"/>
              <w:bottom w:val="single" w:sz="8" w:space="0" w:color="7F7F7F"/>
              <w:right w:val="nil"/>
            </w:tcBorders>
            <w:shd w:val="clear" w:color="auto" w:fill="auto"/>
            <w:noWrap/>
            <w:vAlign w:val="center"/>
            <w:hideMark/>
          </w:tcPr>
          <w:p w:rsidR="00271320" w:rsidRPr="00271320" w:rsidRDefault="00271320" w:rsidP="00271320">
            <w:pPr>
              <w:jc w:val="center"/>
              <w:rPr>
                <w:rFonts w:ascii="Calibri" w:eastAsia="宋体" w:hAnsi="Calibri" w:cs="Calibri"/>
                <w:color w:val="000000"/>
                <w:lang w:eastAsia="en-US"/>
              </w:rPr>
            </w:pPr>
            <w:r w:rsidRPr="00271320">
              <w:rPr>
                <w:rFonts w:ascii="Calibri" w:eastAsia="宋体" w:hAnsi="Calibri" w:cs="Calibri"/>
                <w:color w:val="000000"/>
                <w:lang w:eastAsia="en-US"/>
              </w:rPr>
              <w:t> </w:t>
            </w:r>
          </w:p>
        </w:tc>
        <w:tc>
          <w:tcPr>
            <w:tcW w:w="455" w:type="pct"/>
            <w:gridSpan w:val="2"/>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proofErr w:type="spellStart"/>
            <w:r w:rsidRPr="00271320">
              <w:rPr>
                <w:rFonts w:ascii="Garamond" w:eastAsia="宋体" w:hAnsi="Garamond" w:cs="Calibri"/>
                <w:color w:val="000000"/>
                <w:sz w:val="20"/>
                <w:szCs w:val="20"/>
                <w:lang w:eastAsia="en-US"/>
              </w:rPr>
              <w:t>logFCS</w:t>
            </w:r>
            <w:proofErr w:type="spellEnd"/>
          </w:p>
        </w:tc>
        <w:tc>
          <w:tcPr>
            <w:tcW w:w="427" w:type="pct"/>
            <w:tcBorders>
              <w:top w:val="nil"/>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HDDS</w:t>
            </w:r>
          </w:p>
        </w:tc>
        <w:tc>
          <w:tcPr>
            <w:tcW w:w="340" w:type="pct"/>
            <w:tcBorders>
              <w:top w:val="nil"/>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proofErr w:type="spellStart"/>
            <w:r w:rsidRPr="00271320">
              <w:rPr>
                <w:rFonts w:ascii="Garamond" w:eastAsia="宋体" w:hAnsi="Garamond" w:cs="Calibri"/>
                <w:color w:val="000000"/>
                <w:sz w:val="20"/>
                <w:szCs w:val="20"/>
                <w:lang w:eastAsia="en-US"/>
              </w:rPr>
              <w:t>rCSI</w:t>
            </w:r>
            <w:proofErr w:type="spellEnd"/>
          </w:p>
        </w:tc>
        <w:tc>
          <w:tcPr>
            <w:tcW w:w="433" w:type="pct"/>
            <w:tcBorders>
              <w:top w:val="nil"/>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proofErr w:type="spellStart"/>
            <w:r w:rsidRPr="00271320">
              <w:rPr>
                <w:rFonts w:ascii="Garamond" w:eastAsia="宋体" w:hAnsi="Garamond" w:cs="Calibri"/>
                <w:color w:val="000000"/>
                <w:sz w:val="20"/>
                <w:szCs w:val="20"/>
                <w:lang w:eastAsia="en-US"/>
              </w:rPr>
              <w:t>logFCS</w:t>
            </w:r>
            <w:proofErr w:type="spellEnd"/>
          </w:p>
        </w:tc>
        <w:tc>
          <w:tcPr>
            <w:tcW w:w="432" w:type="pct"/>
            <w:tcBorders>
              <w:top w:val="nil"/>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HDDS</w:t>
            </w:r>
          </w:p>
        </w:tc>
        <w:tc>
          <w:tcPr>
            <w:tcW w:w="384" w:type="pct"/>
            <w:tcBorders>
              <w:top w:val="nil"/>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proofErr w:type="spellStart"/>
            <w:r w:rsidRPr="00271320">
              <w:rPr>
                <w:rFonts w:ascii="Garamond" w:eastAsia="宋体" w:hAnsi="Garamond" w:cs="Calibri"/>
                <w:color w:val="000000"/>
                <w:sz w:val="20"/>
                <w:szCs w:val="20"/>
                <w:lang w:eastAsia="en-US"/>
              </w:rPr>
              <w:t>rCSI</w:t>
            </w:r>
            <w:proofErr w:type="spellEnd"/>
          </w:p>
        </w:tc>
        <w:tc>
          <w:tcPr>
            <w:tcW w:w="432" w:type="pct"/>
            <w:tcBorders>
              <w:top w:val="nil"/>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proofErr w:type="spellStart"/>
            <w:r w:rsidRPr="00271320">
              <w:rPr>
                <w:rFonts w:ascii="Garamond" w:eastAsia="宋体" w:hAnsi="Garamond" w:cs="Calibri"/>
                <w:color w:val="000000"/>
                <w:sz w:val="20"/>
                <w:szCs w:val="20"/>
                <w:lang w:eastAsia="en-US"/>
              </w:rPr>
              <w:t>logFCS</w:t>
            </w:r>
            <w:proofErr w:type="spellEnd"/>
          </w:p>
        </w:tc>
        <w:tc>
          <w:tcPr>
            <w:tcW w:w="386" w:type="pct"/>
            <w:tcBorders>
              <w:top w:val="nil"/>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HDDS</w:t>
            </w:r>
          </w:p>
        </w:tc>
        <w:tc>
          <w:tcPr>
            <w:tcW w:w="386" w:type="pct"/>
            <w:tcBorders>
              <w:top w:val="nil"/>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proofErr w:type="spellStart"/>
            <w:r w:rsidRPr="00271320">
              <w:rPr>
                <w:rFonts w:ascii="Garamond" w:eastAsia="宋体" w:hAnsi="Garamond" w:cs="Calibri"/>
                <w:color w:val="000000"/>
                <w:sz w:val="20"/>
                <w:szCs w:val="20"/>
                <w:lang w:eastAsia="en-US"/>
              </w:rPr>
              <w:t>rCSI</w:t>
            </w:r>
            <w:proofErr w:type="spellEnd"/>
          </w:p>
        </w:tc>
        <w:tc>
          <w:tcPr>
            <w:tcW w:w="142" w:type="pct"/>
            <w:tcBorders>
              <w:top w:val="nil"/>
              <w:left w:val="nil"/>
              <w:bottom w:val="single" w:sz="8" w:space="0" w:color="7F7F7F"/>
              <w:right w:val="nil"/>
            </w:tcBorders>
            <w:shd w:val="clear" w:color="auto" w:fill="auto"/>
            <w:noWrap/>
            <w:vAlign w:val="center"/>
            <w:hideMark/>
          </w:tcPr>
          <w:p w:rsidR="00271320" w:rsidRPr="00271320" w:rsidRDefault="00271320" w:rsidP="00271320">
            <w:pPr>
              <w:jc w:val="center"/>
              <w:rPr>
                <w:rFonts w:ascii="Calibri" w:eastAsia="宋体" w:hAnsi="Calibri" w:cs="Calibri"/>
                <w:color w:val="000000"/>
                <w:lang w:eastAsia="en-US"/>
              </w:rPr>
            </w:pPr>
            <w:r w:rsidRPr="00271320">
              <w:rPr>
                <w:rFonts w:ascii="Calibri" w:eastAsia="宋体" w:hAnsi="Calibri" w:cs="Calibri"/>
                <w:color w:val="000000"/>
                <w:lang w:eastAsia="en-US"/>
              </w:rPr>
              <w:t> </w:t>
            </w:r>
          </w:p>
        </w:tc>
      </w:tr>
      <w:tr w:rsidR="00271320" w:rsidRPr="00271320" w:rsidTr="006C5231">
        <w:trPr>
          <w:trHeight w:val="330"/>
        </w:trPr>
        <w:tc>
          <w:tcPr>
            <w:tcW w:w="5000" w:type="pct"/>
            <w:gridSpan w:val="12"/>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b/>
                <w:bCs/>
                <w:color w:val="000000"/>
                <w:sz w:val="20"/>
                <w:szCs w:val="20"/>
                <w:lang w:eastAsia="en-US"/>
              </w:rPr>
            </w:pPr>
            <w:r w:rsidRPr="00271320">
              <w:rPr>
                <w:rFonts w:ascii="Garamond" w:eastAsia="宋体" w:hAnsi="Garamond" w:cs="Calibri"/>
                <w:b/>
                <w:bCs/>
                <w:color w:val="000000"/>
                <w:sz w:val="20"/>
                <w:szCs w:val="20"/>
                <w:lang w:eastAsia="en-US"/>
              </w:rPr>
              <w:t>Split by year</w:t>
            </w:r>
          </w:p>
        </w:tc>
      </w:tr>
      <w:tr w:rsidR="00271320" w:rsidRPr="00271320" w:rsidTr="006C5231">
        <w:trPr>
          <w:trHeight w:val="330"/>
        </w:trPr>
        <w:tc>
          <w:tcPr>
            <w:tcW w:w="1184" w:type="pct"/>
            <w:tcBorders>
              <w:top w:val="nil"/>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b/>
                <w:bCs/>
                <w:color w:val="000000"/>
                <w:sz w:val="20"/>
                <w:szCs w:val="20"/>
                <w:lang w:eastAsia="en-US"/>
              </w:rPr>
            </w:pPr>
            <w:r w:rsidRPr="00271320">
              <w:rPr>
                <w:rFonts w:ascii="Garamond" w:eastAsia="宋体" w:hAnsi="Garamond" w:cs="Calibri"/>
                <w:b/>
                <w:bCs/>
                <w:color w:val="000000"/>
                <w:sz w:val="20"/>
                <w:szCs w:val="20"/>
                <w:lang w:eastAsia="en-US"/>
              </w:rPr>
              <w:t>Main model</w:t>
            </w:r>
          </w:p>
        </w:tc>
        <w:tc>
          <w:tcPr>
            <w:tcW w:w="455" w:type="pct"/>
            <w:gridSpan w:val="2"/>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0.649</w:t>
            </w:r>
          </w:p>
        </w:tc>
        <w:tc>
          <w:tcPr>
            <w:tcW w:w="427" w:type="pct"/>
            <w:tcBorders>
              <w:top w:val="nil"/>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0.643</w:t>
            </w:r>
          </w:p>
        </w:tc>
        <w:tc>
          <w:tcPr>
            <w:tcW w:w="340" w:type="pct"/>
            <w:tcBorders>
              <w:top w:val="nil"/>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0.119</w:t>
            </w:r>
          </w:p>
        </w:tc>
        <w:tc>
          <w:tcPr>
            <w:tcW w:w="433" w:type="pct"/>
            <w:tcBorders>
              <w:top w:val="nil"/>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0.833</w:t>
            </w:r>
          </w:p>
        </w:tc>
        <w:tc>
          <w:tcPr>
            <w:tcW w:w="432" w:type="pct"/>
            <w:tcBorders>
              <w:top w:val="nil"/>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0.99</w:t>
            </w:r>
            <w:r w:rsidR="00942082" w:rsidRPr="00942082">
              <w:rPr>
                <w:rFonts w:ascii="Garamond" w:eastAsia="宋体" w:hAnsi="Garamond" w:cs="Calibri" w:hint="eastAsia"/>
                <w:color w:val="000000"/>
                <w:sz w:val="20"/>
                <w:szCs w:val="20"/>
              </w:rPr>
              <w:t>4</w:t>
            </w:r>
          </w:p>
        </w:tc>
        <w:tc>
          <w:tcPr>
            <w:tcW w:w="384" w:type="pct"/>
            <w:tcBorders>
              <w:top w:val="nil"/>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highlight w:val="cyan"/>
                <w:lang w:eastAsia="en-US"/>
              </w:rPr>
              <w:t>0.86</w:t>
            </w:r>
            <w:r w:rsidRPr="00271320">
              <w:rPr>
                <w:rFonts w:ascii="Garamond" w:eastAsia="宋体" w:hAnsi="Garamond" w:cs="Calibri"/>
                <w:color w:val="000000"/>
                <w:sz w:val="20"/>
                <w:szCs w:val="20"/>
                <w:highlight w:val="cyan"/>
              </w:rPr>
              <w:t>0</w:t>
            </w:r>
          </w:p>
        </w:tc>
        <w:tc>
          <w:tcPr>
            <w:tcW w:w="432" w:type="pct"/>
            <w:tcBorders>
              <w:top w:val="nil"/>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highlight w:val="cyan"/>
                <w:lang w:eastAsia="en-US"/>
              </w:rPr>
              <w:t>0.</w:t>
            </w:r>
            <w:r w:rsidRPr="00271320">
              <w:rPr>
                <w:rFonts w:ascii="Garamond" w:eastAsia="宋体" w:hAnsi="Garamond" w:cs="Calibri"/>
                <w:color w:val="000000"/>
                <w:sz w:val="20"/>
                <w:szCs w:val="20"/>
                <w:highlight w:val="cyan"/>
              </w:rPr>
              <w:t>759</w:t>
            </w:r>
          </w:p>
        </w:tc>
        <w:tc>
          <w:tcPr>
            <w:tcW w:w="386" w:type="pct"/>
            <w:tcBorders>
              <w:top w:val="nil"/>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highlight w:val="cyan"/>
                <w:lang w:eastAsia="en-US"/>
              </w:rPr>
              <w:t>0.882</w:t>
            </w:r>
          </w:p>
        </w:tc>
        <w:tc>
          <w:tcPr>
            <w:tcW w:w="386" w:type="pct"/>
            <w:tcBorders>
              <w:top w:val="nil"/>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highlight w:val="cyan"/>
                <w:lang w:eastAsia="en-US"/>
              </w:rPr>
              <w:t>0.6</w:t>
            </w:r>
            <w:r w:rsidRPr="00271320">
              <w:rPr>
                <w:rFonts w:ascii="Garamond" w:eastAsia="宋体" w:hAnsi="Garamond" w:cs="Calibri"/>
                <w:color w:val="000000"/>
                <w:sz w:val="20"/>
                <w:szCs w:val="20"/>
                <w:highlight w:val="cyan"/>
              </w:rPr>
              <w:t>50</w:t>
            </w:r>
          </w:p>
        </w:tc>
        <w:tc>
          <w:tcPr>
            <w:tcW w:w="142" w:type="pct"/>
            <w:tcBorders>
              <w:top w:val="nil"/>
              <w:left w:val="nil"/>
              <w:bottom w:val="single" w:sz="8" w:space="0" w:color="7F7F7F"/>
              <w:right w:val="nil"/>
            </w:tcBorders>
            <w:shd w:val="clear" w:color="auto" w:fill="auto"/>
            <w:noWrap/>
            <w:vAlign w:val="center"/>
            <w:hideMark/>
          </w:tcPr>
          <w:p w:rsidR="00271320" w:rsidRPr="00271320" w:rsidRDefault="00271320" w:rsidP="00271320">
            <w:pPr>
              <w:jc w:val="center"/>
              <w:rPr>
                <w:rFonts w:ascii="Calibri" w:eastAsia="宋体" w:hAnsi="Calibri" w:cs="Calibri"/>
                <w:color w:val="000000"/>
                <w:lang w:eastAsia="en-US"/>
              </w:rPr>
            </w:pPr>
            <w:r w:rsidRPr="00271320">
              <w:rPr>
                <w:rFonts w:ascii="Calibri" w:eastAsia="宋体" w:hAnsi="Calibri" w:cs="Calibri"/>
                <w:color w:val="000000"/>
                <w:lang w:eastAsia="en-US"/>
              </w:rPr>
              <w:t> </w:t>
            </w:r>
          </w:p>
        </w:tc>
      </w:tr>
      <w:tr w:rsidR="00271320" w:rsidRPr="00271320" w:rsidTr="006C5231">
        <w:trPr>
          <w:trHeight w:val="330"/>
        </w:trPr>
        <w:tc>
          <w:tcPr>
            <w:tcW w:w="1184" w:type="pct"/>
            <w:tcBorders>
              <w:top w:val="nil"/>
              <w:left w:val="nil"/>
              <w:bottom w:val="nil"/>
              <w:right w:val="nil"/>
            </w:tcBorders>
            <w:shd w:val="clear" w:color="auto" w:fill="auto"/>
            <w:noWrap/>
            <w:vAlign w:val="center"/>
            <w:hideMark/>
          </w:tcPr>
          <w:p w:rsidR="00271320" w:rsidRPr="00271320" w:rsidRDefault="00271320" w:rsidP="00271320">
            <w:pPr>
              <w:jc w:val="center"/>
              <w:rPr>
                <w:rFonts w:ascii="Garamond" w:eastAsia="宋体" w:hAnsi="Garamond" w:cs="Calibri"/>
                <w:b/>
                <w:bCs/>
                <w:color w:val="000000"/>
                <w:sz w:val="20"/>
                <w:szCs w:val="20"/>
                <w:lang w:eastAsia="en-US"/>
              </w:rPr>
            </w:pPr>
            <w:r w:rsidRPr="00271320">
              <w:rPr>
                <w:rFonts w:ascii="Garamond" w:eastAsia="宋体" w:hAnsi="Garamond" w:cs="Calibri"/>
                <w:b/>
                <w:bCs/>
                <w:color w:val="000000"/>
                <w:sz w:val="20"/>
                <w:szCs w:val="20"/>
                <w:lang w:eastAsia="en-US"/>
              </w:rPr>
              <w:t xml:space="preserve">Main model </w:t>
            </w:r>
          </w:p>
          <w:p w:rsidR="00271320" w:rsidRPr="00271320" w:rsidRDefault="00271320" w:rsidP="00271320">
            <w:pPr>
              <w:jc w:val="center"/>
              <w:rPr>
                <w:rFonts w:ascii="Garamond" w:eastAsia="宋体" w:hAnsi="Garamond" w:cs="Calibri"/>
                <w:b/>
                <w:bCs/>
                <w:color w:val="000000"/>
                <w:sz w:val="20"/>
                <w:szCs w:val="20"/>
                <w:lang w:eastAsia="en-US"/>
              </w:rPr>
            </w:pPr>
            <w:r w:rsidRPr="00271320">
              <w:rPr>
                <w:rFonts w:ascii="Garamond" w:eastAsia="宋体" w:hAnsi="Garamond" w:cs="Calibri"/>
                <w:b/>
                <w:bCs/>
                <w:color w:val="000000"/>
                <w:sz w:val="20"/>
                <w:szCs w:val="20"/>
                <w:lang w:eastAsia="en-US"/>
              </w:rPr>
              <w:t xml:space="preserve">– cluster price </w:t>
            </w:r>
          </w:p>
          <w:p w:rsidR="00271320" w:rsidRPr="00271320" w:rsidRDefault="00271320" w:rsidP="00271320">
            <w:pPr>
              <w:jc w:val="center"/>
              <w:rPr>
                <w:rFonts w:ascii="Garamond" w:eastAsia="宋体" w:hAnsi="Garamond" w:cs="Calibri"/>
                <w:b/>
                <w:bCs/>
                <w:color w:val="000000"/>
                <w:sz w:val="20"/>
                <w:szCs w:val="20"/>
                <w:lang w:eastAsia="en-US"/>
              </w:rPr>
            </w:pPr>
            <w:r w:rsidRPr="00271320">
              <w:rPr>
                <w:rFonts w:ascii="Garamond" w:eastAsia="宋体" w:hAnsi="Garamond" w:cs="Calibri"/>
                <w:b/>
                <w:bCs/>
                <w:color w:val="000000"/>
                <w:sz w:val="20"/>
                <w:szCs w:val="20"/>
                <w:lang w:eastAsia="en-US"/>
              </w:rPr>
              <w:t>variables</w:t>
            </w:r>
          </w:p>
        </w:tc>
        <w:tc>
          <w:tcPr>
            <w:tcW w:w="455" w:type="pct"/>
            <w:gridSpan w:val="2"/>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0.638</w:t>
            </w:r>
          </w:p>
        </w:tc>
        <w:tc>
          <w:tcPr>
            <w:tcW w:w="427" w:type="pct"/>
            <w:tcBorders>
              <w:top w:val="nil"/>
              <w:left w:val="nil"/>
              <w:bottom w:val="nil"/>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0.661</w:t>
            </w:r>
          </w:p>
        </w:tc>
        <w:tc>
          <w:tcPr>
            <w:tcW w:w="340" w:type="pct"/>
            <w:tcBorders>
              <w:top w:val="nil"/>
              <w:left w:val="nil"/>
              <w:bottom w:val="nil"/>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0.119</w:t>
            </w:r>
          </w:p>
        </w:tc>
        <w:tc>
          <w:tcPr>
            <w:tcW w:w="433" w:type="pct"/>
            <w:tcBorders>
              <w:top w:val="nil"/>
              <w:left w:val="nil"/>
              <w:bottom w:val="nil"/>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0.222</w:t>
            </w:r>
          </w:p>
        </w:tc>
        <w:tc>
          <w:tcPr>
            <w:tcW w:w="432" w:type="pct"/>
            <w:tcBorders>
              <w:top w:val="nil"/>
              <w:left w:val="nil"/>
              <w:bottom w:val="nil"/>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0.968</w:t>
            </w:r>
          </w:p>
        </w:tc>
        <w:tc>
          <w:tcPr>
            <w:tcW w:w="384" w:type="pct"/>
            <w:tcBorders>
              <w:top w:val="nil"/>
              <w:left w:val="nil"/>
              <w:bottom w:val="nil"/>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0.258</w:t>
            </w:r>
          </w:p>
        </w:tc>
        <w:tc>
          <w:tcPr>
            <w:tcW w:w="432" w:type="pct"/>
            <w:tcBorders>
              <w:top w:val="nil"/>
              <w:left w:val="nil"/>
              <w:bottom w:val="nil"/>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0.916</w:t>
            </w:r>
          </w:p>
        </w:tc>
        <w:tc>
          <w:tcPr>
            <w:tcW w:w="386" w:type="pct"/>
            <w:tcBorders>
              <w:top w:val="nil"/>
              <w:left w:val="nil"/>
              <w:bottom w:val="nil"/>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0.882</w:t>
            </w:r>
          </w:p>
        </w:tc>
        <w:tc>
          <w:tcPr>
            <w:tcW w:w="386" w:type="pct"/>
            <w:tcBorders>
              <w:top w:val="nil"/>
              <w:left w:val="nil"/>
              <w:bottom w:val="nil"/>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0.591</w:t>
            </w:r>
          </w:p>
        </w:tc>
        <w:tc>
          <w:tcPr>
            <w:tcW w:w="142" w:type="pct"/>
            <w:tcBorders>
              <w:top w:val="nil"/>
              <w:left w:val="nil"/>
              <w:bottom w:val="nil"/>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p>
        </w:tc>
      </w:tr>
      <w:tr w:rsidR="00271320" w:rsidRPr="00271320" w:rsidTr="006C5231">
        <w:trPr>
          <w:trHeight w:val="330"/>
        </w:trPr>
        <w:tc>
          <w:tcPr>
            <w:tcW w:w="1201" w:type="pct"/>
            <w:gridSpan w:val="2"/>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b/>
                <w:bCs/>
                <w:color w:val="000000"/>
                <w:sz w:val="20"/>
                <w:szCs w:val="20"/>
                <w:lang w:eastAsia="en-US"/>
              </w:rPr>
            </w:pPr>
            <w:r w:rsidRPr="00271320">
              <w:rPr>
                <w:rFonts w:ascii="Garamond" w:eastAsia="宋体" w:hAnsi="Garamond" w:cs="Calibri"/>
                <w:b/>
                <w:bCs/>
                <w:color w:val="000000"/>
                <w:sz w:val="20"/>
                <w:szCs w:val="20"/>
                <w:lang w:eastAsia="en-US"/>
              </w:rPr>
              <w:t xml:space="preserve">Main Model </w:t>
            </w:r>
          </w:p>
          <w:p w:rsidR="00271320" w:rsidRPr="00271320" w:rsidRDefault="00271320" w:rsidP="00271320">
            <w:pPr>
              <w:jc w:val="center"/>
              <w:rPr>
                <w:rFonts w:ascii="Garamond" w:eastAsia="宋体" w:hAnsi="Garamond" w:cs="Calibri"/>
                <w:b/>
                <w:bCs/>
                <w:color w:val="000000"/>
                <w:sz w:val="20"/>
                <w:szCs w:val="20"/>
                <w:lang w:eastAsia="en-US"/>
              </w:rPr>
            </w:pPr>
            <w:r w:rsidRPr="00271320">
              <w:rPr>
                <w:rFonts w:ascii="Garamond" w:eastAsia="宋体" w:hAnsi="Garamond" w:cs="Calibri"/>
                <w:b/>
                <w:bCs/>
                <w:color w:val="000000"/>
                <w:sz w:val="20"/>
                <w:szCs w:val="20"/>
                <w:lang w:eastAsia="en-US"/>
              </w:rPr>
              <w:t>+ region fixed effect</w:t>
            </w:r>
          </w:p>
          <w:p w:rsidR="00271320" w:rsidRPr="00271320" w:rsidRDefault="00271320" w:rsidP="00271320">
            <w:pPr>
              <w:jc w:val="center"/>
              <w:rPr>
                <w:rFonts w:ascii="Garamond" w:eastAsia="宋体" w:hAnsi="Garamond" w:cs="Calibri"/>
                <w:b/>
                <w:bCs/>
                <w:color w:val="000000"/>
                <w:sz w:val="20"/>
                <w:szCs w:val="20"/>
                <w:lang w:eastAsia="en-US"/>
              </w:rPr>
            </w:pPr>
            <w:r w:rsidRPr="00271320">
              <w:rPr>
                <w:rFonts w:ascii="Garamond" w:eastAsia="宋体" w:hAnsi="Garamond" w:cs="Calibri"/>
                <w:b/>
                <w:bCs/>
                <w:color w:val="000000"/>
                <w:sz w:val="20"/>
                <w:szCs w:val="20"/>
                <w:lang w:eastAsia="en-US"/>
              </w:rPr>
              <w:t xml:space="preserve">- cluster price </w:t>
            </w:r>
            <w:r w:rsidRPr="00271320">
              <w:rPr>
                <w:rFonts w:ascii="Garamond" w:eastAsia="宋体" w:hAnsi="Garamond" w:cs="Calibri" w:hint="eastAsia"/>
                <w:b/>
                <w:bCs/>
                <w:color w:val="000000"/>
                <w:sz w:val="20"/>
                <w:szCs w:val="20"/>
              </w:rPr>
              <w:t>va</w:t>
            </w:r>
            <w:r w:rsidRPr="00271320">
              <w:rPr>
                <w:rFonts w:ascii="Garamond" w:eastAsia="宋体" w:hAnsi="Garamond" w:cs="Calibri"/>
                <w:b/>
                <w:bCs/>
                <w:color w:val="000000"/>
                <w:sz w:val="20"/>
                <w:szCs w:val="20"/>
                <w:lang w:eastAsia="en-US"/>
              </w:rPr>
              <w:t>riables</w:t>
            </w:r>
          </w:p>
        </w:tc>
        <w:tc>
          <w:tcPr>
            <w:tcW w:w="437" w:type="pct"/>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0.557</w:t>
            </w:r>
          </w:p>
        </w:tc>
        <w:tc>
          <w:tcPr>
            <w:tcW w:w="427" w:type="pct"/>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0.554</w:t>
            </w:r>
          </w:p>
        </w:tc>
        <w:tc>
          <w:tcPr>
            <w:tcW w:w="340" w:type="pct"/>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0.073</w:t>
            </w:r>
          </w:p>
        </w:tc>
        <w:tc>
          <w:tcPr>
            <w:tcW w:w="433" w:type="pct"/>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0.278</w:t>
            </w:r>
          </w:p>
        </w:tc>
        <w:tc>
          <w:tcPr>
            <w:tcW w:w="432" w:type="pct"/>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0.955</w:t>
            </w:r>
          </w:p>
        </w:tc>
        <w:tc>
          <w:tcPr>
            <w:tcW w:w="384" w:type="pct"/>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0.290</w:t>
            </w:r>
          </w:p>
        </w:tc>
        <w:tc>
          <w:tcPr>
            <w:tcW w:w="432" w:type="pct"/>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0.916</w:t>
            </w:r>
          </w:p>
        </w:tc>
        <w:tc>
          <w:tcPr>
            <w:tcW w:w="386" w:type="pct"/>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0.862</w:t>
            </w:r>
          </w:p>
        </w:tc>
        <w:tc>
          <w:tcPr>
            <w:tcW w:w="386" w:type="pct"/>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0.616</w:t>
            </w:r>
          </w:p>
        </w:tc>
        <w:tc>
          <w:tcPr>
            <w:tcW w:w="142" w:type="pct"/>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 </w:t>
            </w:r>
          </w:p>
        </w:tc>
      </w:tr>
      <w:tr w:rsidR="00271320" w:rsidRPr="00271320" w:rsidTr="006C5231">
        <w:trPr>
          <w:trHeight w:val="330"/>
        </w:trPr>
        <w:tc>
          <w:tcPr>
            <w:tcW w:w="1184" w:type="pct"/>
            <w:tcBorders>
              <w:top w:val="nil"/>
              <w:left w:val="nil"/>
              <w:bottom w:val="nil"/>
              <w:right w:val="nil"/>
            </w:tcBorders>
            <w:shd w:val="clear" w:color="auto" w:fill="auto"/>
            <w:noWrap/>
            <w:vAlign w:val="center"/>
            <w:hideMark/>
          </w:tcPr>
          <w:p w:rsidR="00271320" w:rsidRPr="00271320" w:rsidRDefault="00271320" w:rsidP="00271320">
            <w:pPr>
              <w:jc w:val="center"/>
              <w:rPr>
                <w:rFonts w:ascii="Garamond" w:eastAsia="宋体" w:hAnsi="Garamond" w:cs="Calibri"/>
                <w:b/>
                <w:bCs/>
                <w:color w:val="000000"/>
                <w:sz w:val="20"/>
                <w:szCs w:val="20"/>
                <w:lang w:eastAsia="en-US"/>
              </w:rPr>
            </w:pPr>
            <w:r w:rsidRPr="00271320">
              <w:rPr>
                <w:rFonts w:ascii="Garamond" w:eastAsia="宋体" w:hAnsi="Garamond" w:cs="Calibri"/>
                <w:b/>
                <w:bCs/>
                <w:color w:val="000000"/>
                <w:sz w:val="20"/>
                <w:szCs w:val="20"/>
                <w:lang w:eastAsia="en-US"/>
              </w:rPr>
              <w:t xml:space="preserve">Main Model </w:t>
            </w:r>
          </w:p>
          <w:p w:rsidR="00271320" w:rsidRPr="00271320" w:rsidRDefault="00271320" w:rsidP="00271320">
            <w:pPr>
              <w:jc w:val="center"/>
              <w:rPr>
                <w:rFonts w:ascii="Garamond" w:eastAsia="宋体" w:hAnsi="Garamond" w:cs="Calibri"/>
                <w:b/>
                <w:bCs/>
                <w:color w:val="000000"/>
                <w:sz w:val="20"/>
                <w:szCs w:val="20"/>
                <w:lang w:eastAsia="en-US"/>
              </w:rPr>
            </w:pPr>
            <w:r w:rsidRPr="00271320">
              <w:rPr>
                <w:rFonts w:ascii="Garamond" w:eastAsia="宋体" w:hAnsi="Garamond" w:cs="Calibri"/>
                <w:b/>
                <w:bCs/>
                <w:color w:val="000000"/>
                <w:sz w:val="20"/>
                <w:szCs w:val="20"/>
                <w:lang w:eastAsia="en-US"/>
              </w:rPr>
              <w:t>+ GIEWS price</w:t>
            </w:r>
          </w:p>
          <w:p w:rsidR="00271320" w:rsidRPr="00271320" w:rsidRDefault="00271320" w:rsidP="00271320">
            <w:pPr>
              <w:jc w:val="center"/>
              <w:rPr>
                <w:rFonts w:ascii="Garamond" w:eastAsia="宋体" w:hAnsi="Garamond" w:cs="Calibri"/>
                <w:b/>
                <w:bCs/>
                <w:color w:val="000000"/>
                <w:sz w:val="20"/>
                <w:szCs w:val="20"/>
                <w:lang w:eastAsia="en-US"/>
              </w:rPr>
            </w:pPr>
            <w:r w:rsidRPr="00271320">
              <w:rPr>
                <w:rFonts w:ascii="Garamond" w:eastAsia="宋体" w:hAnsi="Garamond" w:cs="Calibri"/>
                <w:b/>
                <w:bCs/>
                <w:color w:val="000000"/>
                <w:sz w:val="20"/>
                <w:szCs w:val="20"/>
                <w:lang w:eastAsia="en-US"/>
              </w:rPr>
              <w:t xml:space="preserve">- cluster price </w:t>
            </w:r>
            <w:r w:rsidRPr="00271320">
              <w:rPr>
                <w:rFonts w:ascii="Garamond" w:eastAsia="宋体" w:hAnsi="Garamond" w:cs="Calibri" w:hint="eastAsia"/>
                <w:b/>
                <w:bCs/>
                <w:color w:val="000000"/>
                <w:sz w:val="20"/>
                <w:szCs w:val="20"/>
              </w:rPr>
              <w:t>va</w:t>
            </w:r>
            <w:r w:rsidRPr="00271320">
              <w:rPr>
                <w:rFonts w:ascii="Garamond" w:eastAsia="宋体" w:hAnsi="Garamond" w:cs="Calibri"/>
                <w:b/>
                <w:bCs/>
                <w:color w:val="000000"/>
                <w:sz w:val="20"/>
                <w:szCs w:val="20"/>
                <w:lang w:eastAsia="en-US"/>
              </w:rPr>
              <w:t>riables</w:t>
            </w:r>
          </w:p>
        </w:tc>
        <w:tc>
          <w:tcPr>
            <w:tcW w:w="455" w:type="pct"/>
            <w:gridSpan w:val="2"/>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0.634</w:t>
            </w:r>
          </w:p>
        </w:tc>
        <w:tc>
          <w:tcPr>
            <w:tcW w:w="427" w:type="pct"/>
            <w:tcBorders>
              <w:top w:val="nil"/>
              <w:left w:val="nil"/>
              <w:bottom w:val="nil"/>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0.661</w:t>
            </w:r>
          </w:p>
        </w:tc>
        <w:tc>
          <w:tcPr>
            <w:tcW w:w="340" w:type="pct"/>
            <w:tcBorders>
              <w:top w:val="nil"/>
              <w:left w:val="nil"/>
              <w:bottom w:val="nil"/>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0.036</w:t>
            </w:r>
          </w:p>
        </w:tc>
        <w:tc>
          <w:tcPr>
            <w:tcW w:w="433" w:type="pct"/>
            <w:tcBorders>
              <w:top w:val="nil"/>
              <w:left w:val="nil"/>
              <w:bottom w:val="nil"/>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0.722</w:t>
            </w:r>
          </w:p>
        </w:tc>
        <w:tc>
          <w:tcPr>
            <w:tcW w:w="432" w:type="pct"/>
            <w:tcBorders>
              <w:top w:val="nil"/>
              <w:left w:val="nil"/>
              <w:bottom w:val="nil"/>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0.994</w:t>
            </w:r>
          </w:p>
        </w:tc>
        <w:tc>
          <w:tcPr>
            <w:tcW w:w="384" w:type="pct"/>
            <w:tcBorders>
              <w:top w:val="nil"/>
              <w:left w:val="nil"/>
              <w:bottom w:val="nil"/>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0.978</w:t>
            </w:r>
          </w:p>
        </w:tc>
        <w:tc>
          <w:tcPr>
            <w:tcW w:w="432" w:type="pct"/>
            <w:tcBorders>
              <w:top w:val="nil"/>
              <w:left w:val="nil"/>
              <w:bottom w:val="nil"/>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0.793</w:t>
            </w:r>
          </w:p>
        </w:tc>
        <w:tc>
          <w:tcPr>
            <w:tcW w:w="386" w:type="pct"/>
            <w:tcBorders>
              <w:top w:val="nil"/>
              <w:left w:val="nil"/>
              <w:bottom w:val="nil"/>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0.892</w:t>
            </w:r>
          </w:p>
        </w:tc>
        <w:tc>
          <w:tcPr>
            <w:tcW w:w="386" w:type="pct"/>
            <w:tcBorders>
              <w:top w:val="nil"/>
              <w:left w:val="nil"/>
              <w:bottom w:val="nil"/>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0.468</w:t>
            </w:r>
          </w:p>
        </w:tc>
        <w:tc>
          <w:tcPr>
            <w:tcW w:w="142" w:type="pct"/>
            <w:tcBorders>
              <w:top w:val="nil"/>
              <w:left w:val="nil"/>
              <w:bottom w:val="nil"/>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p>
        </w:tc>
      </w:tr>
      <w:tr w:rsidR="00271320" w:rsidRPr="00271320" w:rsidTr="006C5231">
        <w:trPr>
          <w:trHeight w:val="330"/>
        </w:trPr>
        <w:tc>
          <w:tcPr>
            <w:tcW w:w="1184" w:type="pct"/>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b/>
                <w:bCs/>
                <w:color w:val="000000"/>
                <w:sz w:val="20"/>
                <w:szCs w:val="20"/>
                <w:lang w:eastAsia="en-US"/>
              </w:rPr>
            </w:pPr>
            <w:r w:rsidRPr="00271320">
              <w:rPr>
                <w:rFonts w:ascii="Garamond" w:eastAsia="宋体" w:hAnsi="Garamond" w:cs="Calibri"/>
                <w:b/>
                <w:bCs/>
                <w:color w:val="000000"/>
                <w:sz w:val="20"/>
                <w:szCs w:val="20"/>
                <w:lang w:eastAsia="en-US"/>
              </w:rPr>
              <w:t xml:space="preserve">LASSO </w:t>
            </w:r>
          </w:p>
        </w:tc>
        <w:tc>
          <w:tcPr>
            <w:tcW w:w="455" w:type="pct"/>
            <w:gridSpan w:val="2"/>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0.640</w:t>
            </w:r>
          </w:p>
        </w:tc>
        <w:tc>
          <w:tcPr>
            <w:tcW w:w="427" w:type="pct"/>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0.611</w:t>
            </w:r>
          </w:p>
        </w:tc>
        <w:tc>
          <w:tcPr>
            <w:tcW w:w="340" w:type="pct"/>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0.061</w:t>
            </w:r>
          </w:p>
        </w:tc>
        <w:tc>
          <w:tcPr>
            <w:tcW w:w="433" w:type="pct"/>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0.833</w:t>
            </w:r>
          </w:p>
        </w:tc>
        <w:tc>
          <w:tcPr>
            <w:tcW w:w="432" w:type="pct"/>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1</w:t>
            </w:r>
          </w:p>
        </w:tc>
        <w:tc>
          <w:tcPr>
            <w:tcW w:w="384" w:type="pct"/>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1</w:t>
            </w:r>
          </w:p>
        </w:tc>
        <w:tc>
          <w:tcPr>
            <w:tcW w:w="432" w:type="pct"/>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0.665</w:t>
            </w:r>
          </w:p>
        </w:tc>
        <w:tc>
          <w:tcPr>
            <w:tcW w:w="386" w:type="pct"/>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0.857</w:t>
            </w:r>
          </w:p>
        </w:tc>
        <w:tc>
          <w:tcPr>
            <w:tcW w:w="386" w:type="pct"/>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Garamond" w:eastAsia="宋体" w:hAnsi="Garamond" w:cs="Calibri"/>
                <w:color w:val="000000"/>
                <w:sz w:val="20"/>
                <w:szCs w:val="20"/>
                <w:lang w:eastAsia="en-US"/>
              </w:rPr>
            </w:pPr>
            <w:r w:rsidRPr="00271320">
              <w:rPr>
                <w:rFonts w:ascii="Garamond" w:eastAsia="宋体" w:hAnsi="Garamond" w:cs="Calibri"/>
                <w:color w:val="000000"/>
                <w:sz w:val="20"/>
                <w:szCs w:val="20"/>
                <w:lang w:eastAsia="en-US"/>
              </w:rPr>
              <w:t>0.463</w:t>
            </w:r>
          </w:p>
        </w:tc>
        <w:tc>
          <w:tcPr>
            <w:tcW w:w="142" w:type="pct"/>
            <w:tcBorders>
              <w:top w:val="single" w:sz="8" w:space="0" w:color="7F7F7F"/>
              <w:left w:val="nil"/>
              <w:bottom w:val="single" w:sz="8" w:space="0" w:color="7F7F7F"/>
              <w:right w:val="nil"/>
            </w:tcBorders>
            <w:shd w:val="clear" w:color="auto" w:fill="auto"/>
            <w:noWrap/>
            <w:vAlign w:val="center"/>
            <w:hideMark/>
          </w:tcPr>
          <w:p w:rsidR="00271320" w:rsidRPr="00271320" w:rsidRDefault="00271320" w:rsidP="00271320">
            <w:pPr>
              <w:jc w:val="center"/>
              <w:rPr>
                <w:rFonts w:ascii="Calibri" w:eastAsia="宋体" w:hAnsi="Calibri" w:cs="Calibri"/>
                <w:color w:val="000000"/>
                <w:lang w:eastAsia="en-US"/>
              </w:rPr>
            </w:pPr>
            <w:r w:rsidRPr="00271320">
              <w:rPr>
                <w:rFonts w:ascii="Calibri" w:eastAsia="宋体" w:hAnsi="Calibri" w:cs="Calibri"/>
                <w:color w:val="000000"/>
                <w:lang w:eastAsia="en-US"/>
              </w:rPr>
              <w:t> </w:t>
            </w:r>
          </w:p>
        </w:tc>
      </w:tr>
    </w:tbl>
    <w:p w:rsidR="00745B77" w:rsidRPr="005B03FE" w:rsidRDefault="00745B77">
      <w:pPr>
        <w:rPr>
          <w:lang w:val="en-CA"/>
        </w:rPr>
      </w:pPr>
    </w:p>
    <w:sectPr w:rsidR="00745B77" w:rsidRPr="005B03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3615E"/>
    <w:multiLevelType w:val="hybridMultilevel"/>
    <w:tmpl w:val="BD0624DE"/>
    <w:lvl w:ilvl="0" w:tplc="EF90225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89B6A05"/>
    <w:multiLevelType w:val="hybridMultilevel"/>
    <w:tmpl w:val="766C7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KxNDYyNzAyMzczN7JU0lEKTi0uzszPAykwrAUAv+SH3CwAAAA="/>
  </w:docVars>
  <w:rsids>
    <w:rsidRoot w:val="005B03FE"/>
    <w:rsid w:val="00051FB8"/>
    <w:rsid w:val="0006782A"/>
    <w:rsid w:val="00075874"/>
    <w:rsid w:val="000809BC"/>
    <w:rsid w:val="000B3FF9"/>
    <w:rsid w:val="000D6D64"/>
    <w:rsid w:val="000E2D3E"/>
    <w:rsid w:val="000F185A"/>
    <w:rsid w:val="001119B0"/>
    <w:rsid w:val="001507B2"/>
    <w:rsid w:val="001B5417"/>
    <w:rsid w:val="00206B7D"/>
    <w:rsid w:val="00233B39"/>
    <w:rsid w:val="00235E2E"/>
    <w:rsid w:val="00265D8D"/>
    <w:rsid w:val="00270B87"/>
    <w:rsid w:val="00271320"/>
    <w:rsid w:val="002936E3"/>
    <w:rsid w:val="002C78AD"/>
    <w:rsid w:val="00311939"/>
    <w:rsid w:val="0033104D"/>
    <w:rsid w:val="00342DE3"/>
    <w:rsid w:val="00346116"/>
    <w:rsid w:val="003E65B0"/>
    <w:rsid w:val="003F75E7"/>
    <w:rsid w:val="0041302B"/>
    <w:rsid w:val="00460EAC"/>
    <w:rsid w:val="0048485C"/>
    <w:rsid w:val="00496A8B"/>
    <w:rsid w:val="004B617D"/>
    <w:rsid w:val="004C1119"/>
    <w:rsid w:val="004D43B5"/>
    <w:rsid w:val="004F4BFC"/>
    <w:rsid w:val="0050225E"/>
    <w:rsid w:val="00522D34"/>
    <w:rsid w:val="0054567C"/>
    <w:rsid w:val="005713C9"/>
    <w:rsid w:val="00571A17"/>
    <w:rsid w:val="005A3550"/>
    <w:rsid w:val="005B03FE"/>
    <w:rsid w:val="005F248F"/>
    <w:rsid w:val="006256C3"/>
    <w:rsid w:val="00626B7B"/>
    <w:rsid w:val="006A7848"/>
    <w:rsid w:val="006C6263"/>
    <w:rsid w:val="006D14C0"/>
    <w:rsid w:val="00702B4B"/>
    <w:rsid w:val="00726FD1"/>
    <w:rsid w:val="007375ED"/>
    <w:rsid w:val="007404B5"/>
    <w:rsid w:val="00745B77"/>
    <w:rsid w:val="0079371A"/>
    <w:rsid w:val="007C70C3"/>
    <w:rsid w:val="007D6D8D"/>
    <w:rsid w:val="007F54D6"/>
    <w:rsid w:val="00855CDA"/>
    <w:rsid w:val="008640E1"/>
    <w:rsid w:val="008742B2"/>
    <w:rsid w:val="008C0A23"/>
    <w:rsid w:val="008C5960"/>
    <w:rsid w:val="009245DE"/>
    <w:rsid w:val="00932F3F"/>
    <w:rsid w:val="00942082"/>
    <w:rsid w:val="009461C7"/>
    <w:rsid w:val="00964E29"/>
    <w:rsid w:val="00985A33"/>
    <w:rsid w:val="00995822"/>
    <w:rsid w:val="009C0467"/>
    <w:rsid w:val="009C69A2"/>
    <w:rsid w:val="009C730D"/>
    <w:rsid w:val="009F157B"/>
    <w:rsid w:val="009F50D8"/>
    <w:rsid w:val="00A5265A"/>
    <w:rsid w:val="00A772FA"/>
    <w:rsid w:val="00A84FC0"/>
    <w:rsid w:val="00AA1EE1"/>
    <w:rsid w:val="00B02A3C"/>
    <w:rsid w:val="00B05B21"/>
    <w:rsid w:val="00B25FC0"/>
    <w:rsid w:val="00B43CE2"/>
    <w:rsid w:val="00B64EDA"/>
    <w:rsid w:val="00B71EE9"/>
    <w:rsid w:val="00B862B4"/>
    <w:rsid w:val="00BC3E3C"/>
    <w:rsid w:val="00BC7DDE"/>
    <w:rsid w:val="00BD03F1"/>
    <w:rsid w:val="00C063D6"/>
    <w:rsid w:val="00C4352F"/>
    <w:rsid w:val="00C46BD1"/>
    <w:rsid w:val="00C85D90"/>
    <w:rsid w:val="00CA258A"/>
    <w:rsid w:val="00CC2C9D"/>
    <w:rsid w:val="00CD6DD1"/>
    <w:rsid w:val="00CE3783"/>
    <w:rsid w:val="00CF46BD"/>
    <w:rsid w:val="00D02EDD"/>
    <w:rsid w:val="00D06432"/>
    <w:rsid w:val="00D349AA"/>
    <w:rsid w:val="00D7098B"/>
    <w:rsid w:val="00DA4A5C"/>
    <w:rsid w:val="00DB708D"/>
    <w:rsid w:val="00DD5DEE"/>
    <w:rsid w:val="00DE61DE"/>
    <w:rsid w:val="00DF342A"/>
    <w:rsid w:val="00E203D1"/>
    <w:rsid w:val="00EB5979"/>
    <w:rsid w:val="00EE3679"/>
    <w:rsid w:val="00F1055D"/>
    <w:rsid w:val="00F3124F"/>
    <w:rsid w:val="00F32E5E"/>
    <w:rsid w:val="00F61F32"/>
    <w:rsid w:val="00F64B58"/>
    <w:rsid w:val="00FA16AD"/>
    <w:rsid w:val="00FC7E57"/>
    <w:rsid w:val="00FF5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FDFC"/>
  <w15:chartTrackingRefBased/>
  <w15:docId w15:val="{E60654A5-3143-4339-9278-B8CE5DE4C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3F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B03FE"/>
    <w:pPr>
      <w:spacing w:before="120"/>
      <w:ind w:firstLine="720"/>
    </w:pPr>
    <w:rPr>
      <w:rFonts w:ascii="Times New Roman" w:hAnsi="Times New Roman" w:cs="Times New Roman"/>
      <w:sz w:val="24"/>
      <w:szCs w:val="24"/>
    </w:rPr>
  </w:style>
  <w:style w:type="paragraph" w:styleId="ListParagraph">
    <w:name w:val="List Paragraph"/>
    <w:basedOn w:val="Normal"/>
    <w:uiPriority w:val="34"/>
    <w:qFormat/>
    <w:rsid w:val="00CF46BD"/>
    <w:pPr>
      <w:ind w:left="720"/>
    </w:pPr>
    <w:rPr>
      <w:rFonts w:ascii="Calibri" w:hAnsi="Calibri" w:cs="Calibri"/>
      <w:lang w:eastAsia="zh-TW"/>
    </w:rPr>
  </w:style>
  <w:style w:type="character" w:styleId="CommentReference">
    <w:name w:val="annotation reference"/>
    <w:basedOn w:val="DefaultParagraphFont"/>
    <w:uiPriority w:val="99"/>
    <w:semiHidden/>
    <w:unhideWhenUsed/>
    <w:rsid w:val="00CF46BD"/>
  </w:style>
  <w:style w:type="paragraph" w:styleId="HTMLPreformatted">
    <w:name w:val="HTML Preformatted"/>
    <w:basedOn w:val="Normal"/>
    <w:link w:val="HTMLPreformattedChar"/>
    <w:uiPriority w:val="99"/>
    <w:unhideWhenUsed/>
    <w:rsid w:val="009F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157B"/>
    <w:rPr>
      <w:rFonts w:ascii="Courier New" w:eastAsia="Times New Roman" w:hAnsi="Courier New" w:cs="Courier New"/>
      <w:sz w:val="20"/>
      <w:szCs w:val="20"/>
    </w:rPr>
  </w:style>
  <w:style w:type="character" w:customStyle="1" w:styleId="gnkrckgcgsb">
    <w:name w:val="gnkrckgcgsb"/>
    <w:basedOn w:val="DefaultParagraphFont"/>
    <w:rsid w:val="009F1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61514">
      <w:bodyDiv w:val="1"/>
      <w:marLeft w:val="0"/>
      <w:marRight w:val="0"/>
      <w:marTop w:val="0"/>
      <w:marBottom w:val="0"/>
      <w:divBdr>
        <w:top w:val="none" w:sz="0" w:space="0" w:color="auto"/>
        <w:left w:val="none" w:sz="0" w:space="0" w:color="auto"/>
        <w:bottom w:val="none" w:sz="0" w:space="0" w:color="auto"/>
        <w:right w:val="none" w:sz="0" w:space="0" w:color="auto"/>
      </w:divBdr>
    </w:div>
    <w:div w:id="307171427">
      <w:bodyDiv w:val="1"/>
      <w:marLeft w:val="0"/>
      <w:marRight w:val="0"/>
      <w:marTop w:val="0"/>
      <w:marBottom w:val="0"/>
      <w:divBdr>
        <w:top w:val="none" w:sz="0" w:space="0" w:color="auto"/>
        <w:left w:val="none" w:sz="0" w:space="0" w:color="auto"/>
        <w:bottom w:val="none" w:sz="0" w:space="0" w:color="auto"/>
        <w:right w:val="none" w:sz="0" w:space="0" w:color="auto"/>
      </w:divBdr>
    </w:div>
    <w:div w:id="409697217">
      <w:bodyDiv w:val="1"/>
      <w:marLeft w:val="0"/>
      <w:marRight w:val="0"/>
      <w:marTop w:val="0"/>
      <w:marBottom w:val="0"/>
      <w:divBdr>
        <w:top w:val="none" w:sz="0" w:space="0" w:color="auto"/>
        <w:left w:val="none" w:sz="0" w:space="0" w:color="auto"/>
        <w:bottom w:val="none" w:sz="0" w:space="0" w:color="auto"/>
        <w:right w:val="none" w:sz="0" w:space="0" w:color="auto"/>
      </w:divBdr>
    </w:div>
    <w:div w:id="634792726">
      <w:bodyDiv w:val="1"/>
      <w:marLeft w:val="0"/>
      <w:marRight w:val="0"/>
      <w:marTop w:val="0"/>
      <w:marBottom w:val="0"/>
      <w:divBdr>
        <w:top w:val="none" w:sz="0" w:space="0" w:color="auto"/>
        <w:left w:val="none" w:sz="0" w:space="0" w:color="auto"/>
        <w:bottom w:val="none" w:sz="0" w:space="0" w:color="auto"/>
        <w:right w:val="none" w:sz="0" w:space="0" w:color="auto"/>
      </w:divBdr>
    </w:div>
    <w:div w:id="686369781">
      <w:bodyDiv w:val="1"/>
      <w:marLeft w:val="0"/>
      <w:marRight w:val="0"/>
      <w:marTop w:val="0"/>
      <w:marBottom w:val="0"/>
      <w:divBdr>
        <w:top w:val="none" w:sz="0" w:space="0" w:color="auto"/>
        <w:left w:val="none" w:sz="0" w:space="0" w:color="auto"/>
        <w:bottom w:val="none" w:sz="0" w:space="0" w:color="auto"/>
        <w:right w:val="none" w:sz="0" w:space="0" w:color="auto"/>
      </w:divBdr>
    </w:div>
    <w:div w:id="705132982">
      <w:bodyDiv w:val="1"/>
      <w:marLeft w:val="0"/>
      <w:marRight w:val="0"/>
      <w:marTop w:val="0"/>
      <w:marBottom w:val="0"/>
      <w:divBdr>
        <w:top w:val="none" w:sz="0" w:space="0" w:color="auto"/>
        <w:left w:val="none" w:sz="0" w:space="0" w:color="auto"/>
        <w:bottom w:val="none" w:sz="0" w:space="0" w:color="auto"/>
        <w:right w:val="none" w:sz="0" w:space="0" w:color="auto"/>
      </w:divBdr>
    </w:div>
    <w:div w:id="760687478">
      <w:bodyDiv w:val="1"/>
      <w:marLeft w:val="0"/>
      <w:marRight w:val="0"/>
      <w:marTop w:val="0"/>
      <w:marBottom w:val="0"/>
      <w:divBdr>
        <w:top w:val="none" w:sz="0" w:space="0" w:color="auto"/>
        <w:left w:val="none" w:sz="0" w:space="0" w:color="auto"/>
        <w:bottom w:val="none" w:sz="0" w:space="0" w:color="auto"/>
        <w:right w:val="none" w:sz="0" w:space="0" w:color="auto"/>
      </w:divBdr>
    </w:div>
    <w:div w:id="869299471">
      <w:bodyDiv w:val="1"/>
      <w:marLeft w:val="0"/>
      <w:marRight w:val="0"/>
      <w:marTop w:val="0"/>
      <w:marBottom w:val="0"/>
      <w:divBdr>
        <w:top w:val="none" w:sz="0" w:space="0" w:color="auto"/>
        <w:left w:val="none" w:sz="0" w:space="0" w:color="auto"/>
        <w:bottom w:val="none" w:sz="0" w:space="0" w:color="auto"/>
        <w:right w:val="none" w:sz="0" w:space="0" w:color="auto"/>
      </w:divBdr>
    </w:div>
    <w:div w:id="881789849">
      <w:bodyDiv w:val="1"/>
      <w:marLeft w:val="0"/>
      <w:marRight w:val="0"/>
      <w:marTop w:val="0"/>
      <w:marBottom w:val="0"/>
      <w:divBdr>
        <w:top w:val="none" w:sz="0" w:space="0" w:color="auto"/>
        <w:left w:val="none" w:sz="0" w:space="0" w:color="auto"/>
        <w:bottom w:val="none" w:sz="0" w:space="0" w:color="auto"/>
        <w:right w:val="none" w:sz="0" w:space="0" w:color="auto"/>
      </w:divBdr>
    </w:div>
    <w:div w:id="977805798">
      <w:bodyDiv w:val="1"/>
      <w:marLeft w:val="0"/>
      <w:marRight w:val="0"/>
      <w:marTop w:val="0"/>
      <w:marBottom w:val="0"/>
      <w:divBdr>
        <w:top w:val="none" w:sz="0" w:space="0" w:color="auto"/>
        <w:left w:val="none" w:sz="0" w:space="0" w:color="auto"/>
        <w:bottom w:val="none" w:sz="0" w:space="0" w:color="auto"/>
        <w:right w:val="none" w:sz="0" w:space="0" w:color="auto"/>
      </w:divBdr>
    </w:div>
    <w:div w:id="1599366695">
      <w:bodyDiv w:val="1"/>
      <w:marLeft w:val="0"/>
      <w:marRight w:val="0"/>
      <w:marTop w:val="0"/>
      <w:marBottom w:val="0"/>
      <w:divBdr>
        <w:top w:val="none" w:sz="0" w:space="0" w:color="auto"/>
        <w:left w:val="none" w:sz="0" w:space="0" w:color="auto"/>
        <w:bottom w:val="none" w:sz="0" w:space="0" w:color="auto"/>
        <w:right w:val="none" w:sz="0" w:space="0" w:color="auto"/>
      </w:divBdr>
    </w:div>
    <w:div w:id="197290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2</cp:revision>
  <dcterms:created xsi:type="dcterms:W3CDTF">2019-05-16T19:16:00Z</dcterms:created>
  <dcterms:modified xsi:type="dcterms:W3CDTF">2019-05-16T19:16:00Z</dcterms:modified>
</cp:coreProperties>
</file>