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1758" w:tblpY="18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2"/>
        <w:gridCol w:w="3210"/>
        <w:gridCol w:w="2957"/>
      </w:tblGrid>
      <w:tr w:rsidR="002818A9">
        <w:tblPrEx>
          <w:tblCellMar>
            <w:top w:w="0" w:type="dxa"/>
            <w:bottom w:w="0" w:type="dxa"/>
          </w:tblCellMar>
        </w:tblPrEx>
        <w:tc>
          <w:tcPr>
            <w:tcW w:w="2702" w:type="dxa"/>
          </w:tcPr>
          <w:p w:rsidR="002818A9" w:rsidRDefault="002818A9">
            <w:r>
              <w:t># of samples tested</w:t>
            </w:r>
          </w:p>
        </w:tc>
        <w:tc>
          <w:tcPr>
            <w:tcW w:w="3210" w:type="dxa"/>
          </w:tcPr>
          <w:p w:rsidR="002818A9" w:rsidRDefault="002818A9" w:rsidP="00214C00">
            <w:r>
              <w:t xml:space="preserve"># of samples with detectable </w:t>
            </w:r>
            <w:r w:rsidR="00214C00">
              <w:t>insecticides</w:t>
            </w:r>
          </w:p>
        </w:tc>
        <w:tc>
          <w:tcPr>
            <w:tcW w:w="2957" w:type="dxa"/>
          </w:tcPr>
          <w:p w:rsidR="002818A9" w:rsidRDefault="002818A9" w:rsidP="00214C00">
            <w:r>
              <w:t xml:space="preserve">% of samples with detectable </w:t>
            </w:r>
            <w:r w:rsidR="00214C00">
              <w:t>insecticides</w:t>
            </w:r>
          </w:p>
        </w:tc>
      </w:tr>
      <w:tr w:rsidR="002818A9">
        <w:tblPrEx>
          <w:tblCellMar>
            <w:top w:w="0" w:type="dxa"/>
            <w:bottom w:w="0" w:type="dxa"/>
          </w:tblCellMar>
        </w:tblPrEx>
        <w:tc>
          <w:tcPr>
            <w:tcW w:w="2702" w:type="dxa"/>
          </w:tcPr>
          <w:p w:rsidR="002818A9" w:rsidRDefault="00214C00" w:rsidP="005C7FC7">
            <w:r>
              <w:t>632</w:t>
            </w:r>
          </w:p>
        </w:tc>
        <w:tc>
          <w:tcPr>
            <w:tcW w:w="3210" w:type="dxa"/>
          </w:tcPr>
          <w:p w:rsidR="002818A9" w:rsidRDefault="00214C00">
            <w:r>
              <w:t>223</w:t>
            </w:r>
          </w:p>
        </w:tc>
        <w:tc>
          <w:tcPr>
            <w:tcW w:w="2957" w:type="dxa"/>
          </w:tcPr>
          <w:p w:rsidR="002818A9" w:rsidRDefault="00214C00">
            <w:r>
              <w:t>35.28%</w:t>
            </w:r>
          </w:p>
        </w:tc>
      </w:tr>
      <w:tr w:rsidR="002818A9">
        <w:tblPrEx>
          <w:tblCellMar>
            <w:top w:w="0" w:type="dxa"/>
            <w:bottom w:w="0" w:type="dxa"/>
          </w:tblCellMar>
        </w:tblPrEx>
        <w:tc>
          <w:tcPr>
            <w:tcW w:w="2702" w:type="dxa"/>
          </w:tcPr>
          <w:p w:rsidR="002818A9" w:rsidRDefault="002818A9">
            <w:r>
              <w:t># of non-mig samples tested</w:t>
            </w:r>
          </w:p>
        </w:tc>
        <w:tc>
          <w:tcPr>
            <w:tcW w:w="3210" w:type="dxa"/>
          </w:tcPr>
          <w:p w:rsidR="002818A9" w:rsidRDefault="002818A9">
            <w:r>
              <w:t># of non-mig samples with detectable fungicides</w:t>
            </w:r>
          </w:p>
        </w:tc>
        <w:tc>
          <w:tcPr>
            <w:tcW w:w="2957" w:type="dxa"/>
          </w:tcPr>
          <w:p w:rsidR="002818A9" w:rsidRDefault="002818A9">
            <w:r>
              <w:t>% of non-mig samples with detectable fungicides</w:t>
            </w:r>
          </w:p>
        </w:tc>
      </w:tr>
      <w:tr w:rsidR="002818A9">
        <w:tblPrEx>
          <w:tblCellMar>
            <w:top w:w="0" w:type="dxa"/>
            <w:bottom w:w="0" w:type="dxa"/>
          </w:tblCellMar>
        </w:tblPrEx>
        <w:tc>
          <w:tcPr>
            <w:tcW w:w="2702" w:type="dxa"/>
          </w:tcPr>
          <w:p w:rsidR="002818A9" w:rsidRDefault="00214C00" w:rsidP="005C7FC7">
            <w:r>
              <w:t>442</w:t>
            </w:r>
          </w:p>
        </w:tc>
        <w:tc>
          <w:tcPr>
            <w:tcW w:w="3210" w:type="dxa"/>
          </w:tcPr>
          <w:p w:rsidR="002818A9" w:rsidRDefault="00214C00">
            <w:r>
              <w:t>139</w:t>
            </w:r>
          </w:p>
        </w:tc>
        <w:tc>
          <w:tcPr>
            <w:tcW w:w="2957" w:type="dxa"/>
          </w:tcPr>
          <w:p w:rsidR="002818A9" w:rsidRDefault="00214C00">
            <w:r>
              <w:t>31.45%</w:t>
            </w:r>
          </w:p>
        </w:tc>
      </w:tr>
    </w:tbl>
    <w:p w:rsidR="002818A9" w:rsidRDefault="00214C00">
      <w:pPr>
        <w:rPr>
          <w:b/>
          <w:bCs/>
          <w:sz w:val="24"/>
          <w:szCs w:val="24"/>
        </w:rPr>
      </w:pPr>
      <w:r>
        <w:rPr>
          <w:b/>
          <w:bCs/>
          <w:sz w:val="24"/>
          <w:szCs w:val="24"/>
        </w:rPr>
        <w:t>Insecticides</w:t>
      </w:r>
      <w:r w:rsidR="002818A9">
        <w:rPr>
          <w:b/>
          <w:bCs/>
          <w:sz w:val="24"/>
          <w:szCs w:val="24"/>
        </w:rPr>
        <w:t xml:space="preserve"> Analysis</w:t>
      </w:r>
    </w:p>
    <w:p w:rsidR="002818A9" w:rsidRDefault="002818A9"/>
    <w:p w:rsidR="002818A9" w:rsidRPr="00EF01DD" w:rsidRDefault="00EF01DD">
      <w:pPr>
        <w:rPr>
          <w:i/>
          <w:u w:val="single"/>
        </w:rPr>
      </w:pPr>
      <w:r w:rsidRPr="00EF01DD">
        <w:rPr>
          <w:i/>
          <w:u w:val="single"/>
        </w:rPr>
        <w:t>(Method: summary stats)</w:t>
      </w:r>
    </w:p>
    <w:tbl>
      <w:tblPr>
        <w:tblpPr w:leftFromText="180" w:rightFromText="180" w:vertAnchor="text" w:horzAnchor="margin" w:tblpXSpec="center" w:tblpY="616"/>
        <w:tblOverlap w:val="never"/>
        <w:tblW w:w="11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720"/>
        <w:gridCol w:w="810"/>
        <w:gridCol w:w="990"/>
        <w:gridCol w:w="720"/>
        <w:gridCol w:w="810"/>
        <w:gridCol w:w="1800"/>
        <w:gridCol w:w="1710"/>
        <w:gridCol w:w="720"/>
        <w:gridCol w:w="865"/>
      </w:tblGrid>
      <w:tr w:rsidR="004A26BF" w:rsidTr="004A26BF">
        <w:tblPrEx>
          <w:tblCellMar>
            <w:top w:w="0" w:type="dxa"/>
            <w:bottom w:w="0" w:type="dxa"/>
          </w:tblCellMar>
        </w:tblPrEx>
        <w:tc>
          <w:tcPr>
            <w:tcW w:w="1998" w:type="dxa"/>
          </w:tcPr>
          <w:p w:rsidR="004A26BF" w:rsidRDefault="004A26BF" w:rsidP="004A26BF">
            <w:pPr>
              <w:rPr>
                <w:szCs w:val="21"/>
              </w:rPr>
            </w:pPr>
            <w:r>
              <w:rPr>
                <w:rFonts w:hint="eastAsia"/>
                <w:szCs w:val="21"/>
              </w:rPr>
              <w:t>2010-201</w:t>
            </w:r>
            <w:r>
              <w:rPr>
                <w:szCs w:val="21"/>
              </w:rPr>
              <w:t>3</w:t>
            </w:r>
          </w:p>
          <w:p w:rsidR="004A26BF" w:rsidRDefault="004A26BF" w:rsidP="004A26BF">
            <w:pPr>
              <w:rPr>
                <w:rFonts w:hint="eastAsia"/>
                <w:szCs w:val="21"/>
              </w:rPr>
            </w:pPr>
          </w:p>
        </w:tc>
        <w:tc>
          <w:tcPr>
            <w:tcW w:w="720" w:type="dxa"/>
          </w:tcPr>
          <w:p w:rsidR="004A26BF" w:rsidRDefault="004A26BF" w:rsidP="004A26BF">
            <w:pPr>
              <w:rPr>
                <w:rFonts w:hint="eastAsia"/>
                <w:szCs w:val="21"/>
              </w:rPr>
            </w:pPr>
            <w:r>
              <w:rPr>
                <w:rFonts w:hint="eastAsia"/>
                <w:szCs w:val="21"/>
              </w:rPr>
              <w:t>n</w:t>
            </w:r>
          </w:p>
        </w:tc>
        <w:tc>
          <w:tcPr>
            <w:tcW w:w="810" w:type="dxa"/>
          </w:tcPr>
          <w:p w:rsidR="004A26BF" w:rsidRDefault="004A26BF" w:rsidP="004A26BF">
            <w:pPr>
              <w:rPr>
                <w:rFonts w:hint="eastAsia"/>
                <w:szCs w:val="21"/>
              </w:rPr>
            </w:pPr>
            <w:r>
              <w:rPr>
                <w:rFonts w:hint="eastAsia"/>
                <w:szCs w:val="21"/>
              </w:rPr>
              <w:t>Mean</w:t>
            </w:r>
          </w:p>
        </w:tc>
        <w:tc>
          <w:tcPr>
            <w:tcW w:w="990" w:type="dxa"/>
          </w:tcPr>
          <w:p w:rsidR="004A26BF" w:rsidRDefault="004A26BF" w:rsidP="004A26BF">
            <w:pPr>
              <w:rPr>
                <w:rFonts w:hint="eastAsia"/>
                <w:szCs w:val="21"/>
              </w:rPr>
            </w:pPr>
            <w:r>
              <w:rPr>
                <w:rFonts w:hint="eastAsia"/>
                <w:szCs w:val="21"/>
              </w:rPr>
              <w:t>St. Dev</w:t>
            </w:r>
          </w:p>
        </w:tc>
        <w:tc>
          <w:tcPr>
            <w:tcW w:w="720" w:type="dxa"/>
          </w:tcPr>
          <w:p w:rsidR="004A26BF" w:rsidRDefault="004A26BF" w:rsidP="004A26BF">
            <w:pPr>
              <w:rPr>
                <w:rFonts w:hint="eastAsia"/>
                <w:szCs w:val="21"/>
              </w:rPr>
            </w:pPr>
            <w:r>
              <w:rPr>
                <w:rFonts w:hint="eastAsia"/>
                <w:szCs w:val="21"/>
              </w:rPr>
              <w:t>Min</w:t>
            </w:r>
          </w:p>
        </w:tc>
        <w:tc>
          <w:tcPr>
            <w:tcW w:w="810" w:type="dxa"/>
          </w:tcPr>
          <w:p w:rsidR="004A26BF" w:rsidRDefault="004A26BF" w:rsidP="004A26BF">
            <w:pPr>
              <w:rPr>
                <w:rFonts w:hint="eastAsia"/>
                <w:szCs w:val="21"/>
              </w:rPr>
            </w:pPr>
            <w:r>
              <w:rPr>
                <w:rFonts w:hint="eastAsia"/>
                <w:szCs w:val="21"/>
              </w:rPr>
              <w:t>Max</w:t>
            </w:r>
          </w:p>
        </w:tc>
        <w:tc>
          <w:tcPr>
            <w:tcW w:w="1800" w:type="dxa"/>
          </w:tcPr>
          <w:p w:rsidR="004A26BF" w:rsidRDefault="004A26BF" w:rsidP="004A26BF">
            <w:pPr>
              <w:rPr>
                <w:rFonts w:hint="eastAsia"/>
                <w:szCs w:val="21"/>
              </w:rPr>
            </w:pPr>
            <w:r>
              <w:rPr>
                <w:rFonts w:hint="eastAsia"/>
                <w:szCs w:val="21"/>
              </w:rPr>
              <w:t>Percent infected at detectable level</w:t>
            </w:r>
          </w:p>
        </w:tc>
        <w:tc>
          <w:tcPr>
            <w:tcW w:w="1710" w:type="dxa"/>
          </w:tcPr>
          <w:p w:rsidR="004A26BF" w:rsidRDefault="004A26BF" w:rsidP="004A26BF">
            <w:pPr>
              <w:rPr>
                <w:rFonts w:hint="eastAsia"/>
                <w:szCs w:val="21"/>
              </w:rPr>
            </w:pPr>
            <w:r>
              <w:rPr>
                <w:rFonts w:hint="eastAsia"/>
                <w:szCs w:val="21"/>
              </w:rPr>
              <w:t>Percent infected at threshold level</w:t>
            </w:r>
          </w:p>
        </w:tc>
        <w:tc>
          <w:tcPr>
            <w:tcW w:w="720" w:type="dxa"/>
          </w:tcPr>
          <w:p w:rsidR="004A26BF" w:rsidRDefault="004A26BF" w:rsidP="004A26BF">
            <w:pPr>
              <w:rPr>
                <w:rFonts w:hint="eastAsia"/>
                <w:szCs w:val="21"/>
              </w:rPr>
            </w:pPr>
            <w:r>
              <w:rPr>
                <w:szCs w:val="21"/>
              </w:rPr>
              <w:t>t-stat</w:t>
            </w:r>
          </w:p>
        </w:tc>
        <w:tc>
          <w:tcPr>
            <w:tcW w:w="865" w:type="dxa"/>
          </w:tcPr>
          <w:p w:rsidR="004A26BF" w:rsidRDefault="004A26BF" w:rsidP="004A26BF">
            <w:pPr>
              <w:rPr>
                <w:szCs w:val="21"/>
              </w:rPr>
            </w:pPr>
            <w:r>
              <w:rPr>
                <w:szCs w:val="21"/>
              </w:rPr>
              <w:t>p-value</w:t>
            </w:r>
          </w:p>
        </w:tc>
      </w:tr>
      <w:tr w:rsidR="004A26BF" w:rsidTr="004A26BF">
        <w:tblPrEx>
          <w:tblCellMar>
            <w:top w:w="0" w:type="dxa"/>
            <w:bottom w:w="0" w:type="dxa"/>
          </w:tblCellMar>
        </w:tblPrEx>
        <w:tc>
          <w:tcPr>
            <w:tcW w:w="1998" w:type="dxa"/>
          </w:tcPr>
          <w:p w:rsidR="004A26BF" w:rsidRDefault="004A26BF" w:rsidP="00214C00">
            <w:pPr>
              <w:rPr>
                <w:rFonts w:hint="eastAsia"/>
              </w:rPr>
            </w:pPr>
            <w:r>
              <w:rPr>
                <w:rFonts w:hint="eastAsia"/>
              </w:rPr>
              <w:t>Mites per 100 bees</w:t>
            </w:r>
            <w:r>
              <w:t xml:space="preserve"> (</w:t>
            </w:r>
            <w:r w:rsidR="00214C00">
              <w:t>Insecticides</w:t>
            </w:r>
            <w:r>
              <w:t>)</w:t>
            </w:r>
          </w:p>
        </w:tc>
        <w:tc>
          <w:tcPr>
            <w:tcW w:w="720" w:type="dxa"/>
          </w:tcPr>
          <w:p w:rsidR="004A26BF" w:rsidRDefault="00214C00" w:rsidP="004A26BF">
            <w:pPr>
              <w:rPr>
                <w:rFonts w:hint="eastAsia"/>
              </w:rPr>
            </w:pPr>
            <w:r>
              <w:t>198</w:t>
            </w:r>
          </w:p>
        </w:tc>
        <w:tc>
          <w:tcPr>
            <w:tcW w:w="810" w:type="dxa"/>
          </w:tcPr>
          <w:p w:rsidR="004A26BF" w:rsidRDefault="00214C00" w:rsidP="004A26BF">
            <w:pPr>
              <w:rPr>
                <w:rFonts w:hint="eastAsia"/>
              </w:rPr>
            </w:pPr>
            <w:r>
              <w:t>5.14</w:t>
            </w:r>
          </w:p>
        </w:tc>
        <w:tc>
          <w:tcPr>
            <w:tcW w:w="990" w:type="dxa"/>
          </w:tcPr>
          <w:p w:rsidR="004A26BF" w:rsidRDefault="00214C00" w:rsidP="004A26BF">
            <w:pPr>
              <w:rPr>
                <w:rFonts w:hint="eastAsia"/>
              </w:rPr>
            </w:pPr>
            <w:r>
              <w:t>6.24</w:t>
            </w:r>
          </w:p>
        </w:tc>
        <w:tc>
          <w:tcPr>
            <w:tcW w:w="720" w:type="dxa"/>
          </w:tcPr>
          <w:p w:rsidR="004A26BF" w:rsidRDefault="00214C00" w:rsidP="004A26BF">
            <w:pPr>
              <w:rPr>
                <w:rFonts w:hint="eastAsia"/>
              </w:rPr>
            </w:pPr>
            <w:r>
              <w:t>0</w:t>
            </w:r>
          </w:p>
        </w:tc>
        <w:tc>
          <w:tcPr>
            <w:tcW w:w="810" w:type="dxa"/>
          </w:tcPr>
          <w:p w:rsidR="004A26BF" w:rsidRDefault="00214C00" w:rsidP="004A26BF">
            <w:pPr>
              <w:rPr>
                <w:rFonts w:hint="eastAsia"/>
              </w:rPr>
            </w:pPr>
            <w:r>
              <w:t>31.40</w:t>
            </w:r>
          </w:p>
        </w:tc>
        <w:tc>
          <w:tcPr>
            <w:tcW w:w="1800" w:type="dxa"/>
          </w:tcPr>
          <w:p w:rsidR="004A26BF" w:rsidRDefault="00214C00" w:rsidP="004A26BF">
            <w:pPr>
              <w:rPr>
                <w:rFonts w:hint="eastAsia"/>
              </w:rPr>
            </w:pPr>
            <w:r>
              <w:t>87.88%</w:t>
            </w:r>
          </w:p>
        </w:tc>
        <w:tc>
          <w:tcPr>
            <w:tcW w:w="1710" w:type="dxa"/>
          </w:tcPr>
          <w:p w:rsidR="004A26BF" w:rsidRDefault="00214C00" w:rsidP="004A26BF">
            <w:pPr>
              <w:rPr>
                <w:rFonts w:hint="eastAsia"/>
              </w:rPr>
            </w:pPr>
            <w:r>
              <w:t>48.99%</w:t>
            </w:r>
          </w:p>
        </w:tc>
        <w:tc>
          <w:tcPr>
            <w:tcW w:w="720" w:type="dxa"/>
            <w:vMerge w:val="restart"/>
          </w:tcPr>
          <w:p w:rsidR="004A26BF" w:rsidRDefault="00214C00" w:rsidP="004A26BF">
            <w:pPr>
              <w:rPr>
                <w:rFonts w:hint="eastAsia"/>
              </w:rPr>
            </w:pPr>
            <w:r>
              <w:t>-0.16</w:t>
            </w:r>
          </w:p>
        </w:tc>
        <w:tc>
          <w:tcPr>
            <w:tcW w:w="865" w:type="dxa"/>
            <w:vMerge w:val="restart"/>
          </w:tcPr>
          <w:p w:rsidR="004A26BF" w:rsidRDefault="00214C00" w:rsidP="00C23082">
            <w:pPr>
              <w:rPr>
                <w:rFonts w:hint="eastAsia"/>
              </w:rPr>
            </w:pPr>
            <w:r>
              <w:t>0.88</w:t>
            </w:r>
          </w:p>
        </w:tc>
      </w:tr>
      <w:tr w:rsidR="004A26BF" w:rsidTr="004A26BF">
        <w:tblPrEx>
          <w:tblCellMar>
            <w:top w:w="0" w:type="dxa"/>
            <w:bottom w:w="0" w:type="dxa"/>
          </w:tblCellMar>
        </w:tblPrEx>
        <w:tc>
          <w:tcPr>
            <w:tcW w:w="1998" w:type="dxa"/>
          </w:tcPr>
          <w:p w:rsidR="004A26BF" w:rsidRDefault="004A26BF" w:rsidP="00214C00">
            <w:pPr>
              <w:rPr>
                <w:rFonts w:hint="eastAsia"/>
              </w:rPr>
            </w:pPr>
            <w:r>
              <w:t xml:space="preserve">Mites per 100 bees (No </w:t>
            </w:r>
            <w:r w:rsidR="00214C00">
              <w:t>insecticides</w:t>
            </w:r>
            <w:r>
              <w:t>)</w:t>
            </w:r>
          </w:p>
        </w:tc>
        <w:tc>
          <w:tcPr>
            <w:tcW w:w="720" w:type="dxa"/>
          </w:tcPr>
          <w:p w:rsidR="004A26BF" w:rsidRDefault="00214C00" w:rsidP="004A26BF">
            <w:r>
              <w:t>377</w:t>
            </w:r>
          </w:p>
        </w:tc>
        <w:tc>
          <w:tcPr>
            <w:tcW w:w="810" w:type="dxa"/>
          </w:tcPr>
          <w:p w:rsidR="004A26BF" w:rsidRDefault="00214C00" w:rsidP="004A26BF">
            <w:r>
              <w:t>5.22</w:t>
            </w:r>
          </w:p>
        </w:tc>
        <w:tc>
          <w:tcPr>
            <w:tcW w:w="990" w:type="dxa"/>
          </w:tcPr>
          <w:p w:rsidR="004A26BF" w:rsidRDefault="00214C00" w:rsidP="004A26BF">
            <w:r>
              <w:t>5.65</w:t>
            </w:r>
          </w:p>
        </w:tc>
        <w:tc>
          <w:tcPr>
            <w:tcW w:w="720" w:type="dxa"/>
          </w:tcPr>
          <w:p w:rsidR="004A26BF" w:rsidRDefault="00214C00" w:rsidP="004A26BF">
            <w:pPr>
              <w:rPr>
                <w:rFonts w:hint="eastAsia"/>
              </w:rPr>
            </w:pPr>
            <w:r>
              <w:t>0</w:t>
            </w:r>
          </w:p>
        </w:tc>
        <w:tc>
          <w:tcPr>
            <w:tcW w:w="810" w:type="dxa"/>
          </w:tcPr>
          <w:p w:rsidR="004A26BF" w:rsidRDefault="00214C00" w:rsidP="004A26BF">
            <w:r>
              <w:t>37.16</w:t>
            </w:r>
          </w:p>
        </w:tc>
        <w:tc>
          <w:tcPr>
            <w:tcW w:w="1800" w:type="dxa"/>
          </w:tcPr>
          <w:p w:rsidR="004A26BF" w:rsidRDefault="00214C00" w:rsidP="004A26BF">
            <w:r>
              <w:t>93.10%</w:t>
            </w:r>
          </w:p>
        </w:tc>
        <w:tc>
          <w:tcPr>
            <w:tcW w:w="1710" w:type="dxa"/>
          </w:tcPr>
          <w:p w:rsidR="004A26BF" w:rsidRDefault="00214C00" w:rsidP="004A26BF">
            <w:r>
              <w:t>54.64%</w:t>
            </w:r>
          </w:p>
        </w:tc>
        <w:tc>
          <w:tcPr>
            <w:tcW w:w="720" w:type="dxa"/>
            <w:vMerge/>
          </w:tcPr>
          <w:p w:rsidR="004A26BF" w:rsidRDefault="004A26BF" w:rsidP="004A26BF"/>
        </w:tc>
        <w:tc>
          <w:tcPr>
            <w:tcW w:w="865" w:type="dxa"/>
            <w:vMerge/>
          </w:tcPr>
          <w:p w:rsidR="004A26BF" w:rsidRDefault="004A26BF" w:rsidP="004A26BF"/>
        </w:tc>
      </w:tr>
      <w:tr w:rsidR="004A26BF" w:rsidTr="004A26BF">
        <w:tblPrEx>
          <w:tblCellMar>
            <w:top w:w="0" w:type="dxa"/>
            <w:bottom w:w="0" w:type="dxa"/>
          </w:tblCellMar>
        </w:tblPrEx>
        <w:tc>
          <w:tcPr>
            <w:tcW w:w="1998" w:type="dxa"/>
          </w:tcPr>
          <w:p w:rsidR="004A26BF" w:rsidRDefault="004A26BF" w:rsidP="00214C00">
            <w:pPr>
              <w:rPr>
                <w:rFonts w:hint="eastAsia"/>
              </w:rPr>
            </w:pPr>
            <w:r>
              <w:rPr>
                <w:rFonts w:hint="eastAsia"/>
              </w:rPr>
              <w:t>Nosema per bee</w:t>
            </w:r>
            <w:r>
              <w:t xml:space="preserve"> (</w:t>
            </w:r>
            <w:r w:rsidR="00214C00">
              <w:t>Insecticides</w:t>
            </w:r>
            <w:r>
              <w:t>)</w:t>
            </w:r>
          </w:p>
        </w:tc>
        <w:tc>
          <w:tcPr>
            <w:tcW w:w="720" w:type="dxa"/>
          </w:tcPr>
          <w:p w:rsidR="004A26BF" w:rsidRDefault="00214C00" w:rsidP="004A26BF">
            <w:pPr>
              <w:rPr>
                <w:rFonts w:hint="eastAsia"/>
              </w:rPr>
            </w:pPr>
            <w:r>
              <w:t>196</w:t>
            </w:r>
          </w:p>
        </w:tc>
        <w:tc>
          <w:tcPr>
            <w:tcW w:w="810" w:type="dxa"/>
          </w:tcPr>
          <w:p w:rsidR="004A26BF" w:rsidRDefault="00214C00" w:rsidP="004A26BF">
            <w:pPr>
              <w:rPr>
                <w:rFonts w:hint="eastAsia"/>
              </w:rPr>
            </w:pPr>
            <w:r>
              <w:t>0.38</w:t>
            </w:r>
          </w:p>
        </w:tc>
        <w:tc>
          <w:tcPr>
            <w:tcW w:w="990" w:type="dxa"/>
          </w:tcPr>
          <w:p w:rsidR="004A26BF" w:rsidRDefault="00214C00" w:rsidP="004A26BF">
            <w:pPr>
              <w:rPr>
                <w:rFonts w:hint="eastAsia"/>
              </w:rPr>
            </w:pPr>
            <w:r>
              <w:t>0.85</w:t>
            </w:r>
          </w:p>
        </w:tc>
        <w:tc>
          <w:tcPr>
            <w:tcW w:w="720" w:type="dxa"/>
          </w:tcPr>
          <w:p w:rsidR="004A26BF" w:rsidRDefault="00214C00" w:rsidP="004A26BF">
            <w:pPr>
              <w:rPr>
                <w:rFonts w:hint="eastAsia"/>
              </w:rPr>
            </w:pPr>
            <w:r>
              <w:t>0</w:t>
            </w:r>
          </w:p>
        </w:tc>
        <w:tc>
          <w:tcPr>
            <w:tcW w:w="810" w:type="dxa"/>
          </w:tcPr>
          <w:p w:rsidR="004A26BF" w:rsidRDefault="00214C00" w:rsidP="004A26BF">
            <w:pPr>
              <w:rPr>
                <w:rFonts w:hint="eastAsia"/>
              </w:rPr>
            </w:pPr>
            <w:r>
              <w:t>7.95</w:t>
            </w:r>
          </w:p>
        </w:tc>
        <w:tc>
          <w:tcPr>
            <w:tcW w:w="1800" w:type="dxa"/>
          </w:tcPr>
          <w:p w:rsidR="004A26BF" w:rsidRDefault="00214C00" w:rsidP="004A26BF">
            <w:pPr>
              <w:rPr>
                <w:rFonts w:hint="eastAsia"/>
              </w:rPr>
            </w:pPr>
            <w:r>
              <w:t>55.61%</w:t>
            </w:r>
          </w:p>
        </w:tc>
        <w:tc>
          <w:tcPr>
            <w:tcW w:w="1710" w:type="dxa"/>
          </w:tcPr>
          <w:p w:rsidR="004A26BF" w:rsidRDefault="00214C00" w:rsidP="004A26BF">
            <w:pPr>
              <w:rPr>
                <w:rFonts w:hint="eastAsia"/>
              </w:rPr>
            </w:pPr>
            <w:r>
              <w:t>13.27%</w:t>
            </w:r>
          </w:p>
        </w:tc>
        <w:tc>
          <w:tcPr>
            <w:tcW w:w="720" w:type="dxa"/>
            <w:vMerge w:val="restart"/>
          </w:tcPr>
          <w:p w:rsidR="004A26BF" w:rsidRDefault="00214C00" w:rsidP="004A26BF">
            <w:r>
              <w:t>0.52</w:t>
            </w:r>
          </w:p>
        </w:tc>
        <w:tc>
          <w:tcPr>
            <w:tcW w:w="865" w:type="dxa"/>
            <w:vMerge w:val="restart"/>
          </w:tcPr>
          <w:p w:rsidR="004A26BF" w:rsidRDefault="00214C00" w:rsidP="004A26BF">
            <w:r>
              <w:t>0.60</w:t>
            </w:r>
          </w:p>
        </w:tc>
      </w:tr>
      <w:tr w:rsidR="004A26BF" w:rsidTr="004A26BF">
        <w:tblPrEx>
          <w:tblCellMar>
            <w:top w:w="0" w:type="dxa"/>
            <w:bottom w:w="0" w:type="dxa"/>
          </w:tblCellMar>
        </w:tblPrEx>
        <w:tc>
          <w:tcPr>
            <w:tcW w:w="1998" w:type="dxa"/>
          </w:tcPr>
          <w:p w:rsidR="004A26BF" w:rsidRDefault="004A26BF" w:rsidP="00214C00">
            <w:pPr>
              <w:rPr>
                <w:rFonts w:hint="eastAsia"/>
              </w:rPr>
            </w:pPr>
            <w:r>
              <w:t xml:space="preserve">Nosema per bee (No </w:t>
            </w:r>
            <w:r w:rsidR="00214C00">
              <w:t>insecticides</w:t>
            </w:r>
            <w:r>
              <w:t>)</w:t>
            </w:r>
          </w:p>
        </w:tc>
        <w:tc>
          <w:tcPr>
            <w:tcW w:w="720" w:type="dxa"/>
          </w:tcPr>
          <w:p w:rsidR="004A26BF" w:rsidRDefault="00214C00" w:rsidP="004A26BF">
            <w:r>
              <w:t>377</w:t>
            </w:r>
          </w:p>
        </w:tc>
        <w:tc>
          <w:tcPr>
            <w:tcW w:w="810" w:type="dxa"/>
          </w:tcPr>
          <w:p w:rsidR="004A26BF" w:rsidRDefault="00214C00" w:rsidP="004A26BF">
            <w:r>
              <w:t>0.34</w:t>
            </w:r>
          </w:p>
        </w:tc>
        <w:tc>
          <w:tcPr>
            <w:tcW w:w="990" w:type="dxa"/>
          </w:tcPr>
          <w:p w:rsidR="004A26BF" w:rsidRDefault="00214C00" w:rsidP="004A26BF">
            <w:r>
              <w:t>0.91</w:t>
            </w:r>
          </w:p>
        </w:tc>
        <w:tc>
          <w:tcPr>
            <w:tcW w:w="720" w:type="dxa"/>
          </w:tcPr>
          <w:p w:rsidR="004A26BF" w:rsidRDefault="00214C00" w:rsidP="004A26BF">
            <w:pPr>
              <w:rPr>
                <w:rFonts w:hint="eastAsia"/>
              </w:rPr>
            </w:pPr>
            <w:r>
              <w:t>0</w:t>
            </w:r>
          </w:p>
        </w:tc>
        <w:tc>
          <w:tcPr>
            <w:tcW w:w="810" w:type="dxa"/>
          </w:tcPr>
          <w:p w:rsidR="004A26BF" w:rsidRDefault="00214C00" w:rsidP="004A26BF">
            <w:r>
              <w:t>10.8</w:t>
            </w:r>
          </w:p>
        </w:tc>
        <w:tc>
          <w:tcPr>
            <w:tcW w:w="1800" w:type="dxa"/>
          </w:tcPr>
          <w:p w:rsidR="004A26BF" w:rsidRDefault="00214C00" w:rsidP="004A26BF">
            <w:r>
              <w:t>45.09%</w:t>
            </w:r>
          </w:p>
        </w:tc>
        <w:tc>
          <w:tcPr>
            <w:tcW w:w="1710" w:type="dxa"/>
          </w:tcPr>
          <w:p w:rsidR="004A26BF" w:rsidRDefault="00214C00" w:rsidP="004A26BF">
            <w:r>
              <w:t>10.61%</w:t>
            </w:r>
          </w:p>
        </w:tc>
        <w:tc>
          <w:tcPr>
            <w:tcW w:w="720" w:type="dxa"/>
            <w:vMerge/>
          </w:tcPr>
          <w:p w:rsidR="004A26BF" w:rsidRDefault="004A26BF" w:rsidP="004A26BF"/>
        </w:tc>
        <w:tc>
          <w:tcPr>
            <w:tcW w:w="865" w:type="dxa"/>
            <w:vMerge/>
          </w:tcPr>
          <w:p w:rsidR="004A26BF" w:rsidRDefault="004A26BF" w:rsidP="004A26BF"/>
        </w:tc>
      </w:tr>
    </w:tbl>
    <w:p w:rsidR="002818A9" w:rsidRDefault="002818A9"/>
    <w:p w:rsidR="002818A9" w:rsidRDefault="004A26BF">
      <w:r>
        <w:t>Morbidity Summary Statistics</w:t>
      </w:r>
      <w:r w:rsidR="00192494">
        <w:t xml:space="preserve"> (migratory + non-migratory)</w:t>
      </w:r>
    </w:p>
    <w:p w:rsidR="00EF01DD" w:rsidRDefault="00EF01DD"/>
    <w:p w:rsidR="00EF01DD" w:rsidRPr="00EF01DD" w:rsidRDefault="00EF01DD">
      <w:pPr>
        <w:rPr>
          <w:i/>
          <w:u w:val="single"/>
        </w:rPr>
      </w:pPr>
      <w:r w:rsidRPr="00EF01DD">
        <w:rPr>
          <w:i/>
          <w:u w:val="single"/>
        </w:rPr>
        <w:t>(Method: Basic t-stats)</w:t>
      </w:r>
    </w:p>
    <w:p w:rsidR="00C23082" w:rsidRDefault="00C23082"/>
    <w:p w:rsidR="00C23082" w:rsidRDefault="00C23082"/>
    <w:p w:rsidR="009A49E0" w:rsidRDefault="009A49E0" w:rsidP="00136A4A">
      <w:pPr>
        <w:rPr>
          <w:b/>
        </w:rPr>
      </w:pPr>
      <w:r w:rsidRPr="009A49E0">
        <w:rPr>
          <w:b/>
        </w:rPr>
        <w:t>Top Land</w:t>
      </w:r>
      <w:r w:rsidR="0006464F">
        <w:rPr>
          <w:b/>
        </w:rPr>
        <w:t>covers (</w:t>
      </w:r>
      <w:r w:rsidR="00DD4601">
        <w:rPr>
          <w:b/>
        </w:rPr>
        <w:t>t-stat</w:t>
      </w:r>
      <w:r w:rsidR="0006464F">
        <w:rPr>
          <w:b/>
        </w:rPr>
        <w:t>)</w:t>
      </w:r>
    </w:p>
    <w:p w:rsidR="009A49E0" w:rsidRPr="009A49E0" w:rsidRDefault="009A49E0" w:rsidP="00136A4A">
      <w:pPr>
        <w:rPr>
          <w:b/>
        </w:rPr>
      </w:pPr>
    </w:p>
    <w:p w:rsidR="00136A4A" w:rsidRDefault="00136A4A" w:rsidP="00136A4A"/>
    <w:p w:rsidR="008429C5" w:rsidRDefault="003578C1" w:rsidP="00136A4A">
      <w:r w:rsidRPr="00DD4601">
        <w:rPr>
          <w:noProof/>
          <w:lang w:eastAsia="en-US"/>
        </w:rPr>
        <w:drawing>
          <wp:inline distT="0" distB="0" distL="0" distR="0">
            <wp:extent cx="47244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2733675"/>
                    </a:xfrm>
                    <a:prstGeom prst="rect">
                      <a:avLst/>
                    </a:prstGeom>
                    <a:noFill/>
                    <a:ln>
                      <a:noFill/>
                    </a:ln>
                  </pic:spPr>
                </pic:pic>
              </a:graphicData>
            </a:graphic>
          </wp:inline>
        </w:drawing>
      </w:r>
    </w:p>
    <w:p w:rsidR="0006464F" w:rsidRDefault="0006464F">
      <w:pPr>
        <w:rPr>
          <w:i/>
          <w:u w:val="single"/>
        </w:rPr>
      </w:pPr>
    </w:p>
    <w:p w:rsidR="00792077" w:rsidRDefault="00792077">
      <w:pPr>
        <w:rPr>
          <w:i/>
          <w:u w:val="single"/>
        </w:rPr>
      </w:pPr>
    </w:p>
    <w:p w:rsidR="00792077" w:rsidRDefault="00792077">
      <w:pPr>
        <w:rPr>
          <w:i/>
          <w:u w:val="single"/>
        </w:rPr>
      </w:pPr>
    </w:p>
    <w:p w:rsidR="00792077" w:rsidRDefault="00792077">
      <w:pPr>
        <w:rPr>
          <w:b/>
        </w:rPr>
      </w:pPr>
    </w:p>
    <w:p w:rsidR="0006464F" w:rsidRPr="009A49E0" w:rsidRDefault="0006464F">
      <w:pPr>
        <w:rPr>
          <w:b/>
        </w:rPr>
      </w:pPr>
    </w:p>
    <w:p w:rsidR="0006464F" w:rsidRDefault="0006464F">
      <w:pPr>
        <w:rPr>
          <w:b/>
        </w:rPr>
      </w:pPr>
    </w:p>
    <w:p w:rsidR="00883191" w:rsidRDefault="009A49E0">
      <w:r w:rsidRPr="009A49E0">
        <w:rPr>
          <w:b/>
        </w:rPr>
        <w:lastRenderedPageBreak/>
        <w:t>Detection Time and Location</w:t>
      </w:r>
    </w:p>
    <w:p w:rsidR="000A0982" w:rsidRDefault="003578C1">
      <w:r>
        <w:rPr>
          <w:noProof/>
          <w:lang w:eastAsia="en-US"/>
        </w:rPr>
        <w:drawing>
          <wp:anchor distT="0" distB="0" distL="114300" distR="114300" simplePos="0" relativeHeight="251657216" behindDoc="0" locked="0" layoutInCell="1" allowOverlap="1">
            <wp:simplePos x="0" y="0"/>
            <wp:positionH relativeFrom="column">
              <wp:posOffset>1905000</wp:posOffset>
            </wp:positionH>
            <wp:positionV relativeFrom="paragraph">
              <wp:posOffset>41275</wp:posOffset>
            </wp:positionV>
            <wp:extent cx="3850005" cy="23145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0005" cy="231457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051"/>
      </w:tblGrid>
      <w:tr w:rsidR="0015518B" w:rsidTr="00014ED5">
        <w:trPr>
          <w:trHeight w:val="270"/>
        </w:trPr>
        <w:tc>
          <w:tcPr>
            <w:tcW w:w="1547" w:type="dxa"/>
            <w:shd w:val="clear" w:color="auto" w:fill="auto"/>
          </w:tcPr>
          <w:p w:rsidR="0015518B" w:rsidRDefault="0015518B">
            <w:r>
              <w:t>Month</w:t>
            </w:r>
          </w:p>
        </w:tc>
        <w:tc>
          <w:tcPr>
            <w:tcW w:w="1051" w:type="dxa"/>
            <w:shd w:val="clear" w:color="auto" w:fill="auto"/>
          </w:tcPr>
          <w:p w:rsidR="0015518B" w:rsidRDefault="0015518B">
            <w:r>
              <w:t>Count</w:t>
            </w:r>
          </w:p>
        </w:tc>
      </w:tr>
      <w:tr w:rsidR="0015518B" w:rsidTr="00014ED5">
        <w:trPr>
          <w:trHeight w:val="270"/>
        </w:trPr>
        <w:tc>
          <w:tcPr>
            <w:tcW w:w="1547" w:type="dxa"/>
            <w:shd w:val="clear" w:color="auto" w:fill="auto"/>
          </w:tcPr>
          <w:p w:rsidR="0015518B" w:rsidRDefault="0015518B">
            <w:r>
              <w:t>Jan</w:t>
            </w:r>
          </w:p>
        </w:tc>
        <w:tc>
          <w:tcPr>
            <w:tcW w:w="1051" w:type="dxa"/>
            <w:shd w:val="clear" w:color="auto" w:fill="auto"/>
          </w:tcPr>
          <w:p w:rsidR="0015518B" w:rsidRDefault="004457A1">
            <w:r>
              <w:t>0</w:t>
            </w:r>
          </w:p>
        </w:tc>
      </w:tr>
      <w:tr w:rsidR="0015518B" w:rsidTr="00014ED5">
        <w:trPr>
          <w:trHeight w:val="253"/>
        </w:trPr>
        <w:tc>
          <w:tcPr>
            <w:tcW w:w="1547" w:type="dxa"/>
            <w:shd w:val="clear" w:color="auto" w:fill="auto"/>
          </w:tcPr>
          <w:p w:rsidR="0015518B" w:rsidRDefault="0015518B">
            <w:r>
              <w:t>Feb</w:t>
            </w:r>
          </w:p>
        </w:tc>
        <w:tc>
          <w:tcPr>
            <w:tcW w:w="1051" w:type="dxa"/>
            <w:shd w:val="clear" w:color="auto" w:fill="auto"/>
          </w:tcPr>
          <w:p w:rsidR="0015518B" w:rsidRDefault="004457A1">
            <w:r>
              <w:t>4</w:t>
            </w:r>
          </w:p>
        </w:tc>
      </w:tr>
      <w:tr w:rsidR="0015518B" w:rsidTr="00014ED5">
        <w:trPr>
          <w:trHeight w:val="270"/>
        </w:trPr>
        <w:tc>
          <w:tcPr>
            <w:tcW w:w="1547" w:type="dxa"/>
            <w:shd w:val="clear" w:color="auto" w:fill="auto"/>
          </w:tcPr>
          <w:p w:rsidR="0015518B" w:rsidRDefault="0015518B">
            <w:r>
              <w:t>Mar</w:t>
            </w:r>
          </w:p>
        </w:tc>
        <w:tc>
          <w:tcPr>
            <w:tcW w:w="1051" w:type="dxa"/>
            <w:shd w:val="clear" w:color="auto" w:fill="auto"/>
          </w:tcPr>
          <w:p w:rsidR="0015518B" w:rsidRDefault="004457A1">
            <w:r>
              <w:t>11</w:t>
            </w:r>
          </w:p>
        </w:tc>
      </w:tr>
      <w:tr w:rsidR="0015518B" w:rsidTr="00014ED5">
        <w:trPr>
          <w:trHeight w:val="270"/>
        </w:trPr>
        <w:tc>
          <w:tcPr>
            <w:tcW w:w="1547" w:type="dxa"/>
            <w:shd w:val="clear" w:color="auto" w:fill="auto"/>
          </w:tcPr>
          <w:p w:rsidR="0015518B" w:rsidRDefault="0015518B">
            <w:r>
              <w:t>Apr</w:t>
            </w:r>
          </w:p>
        </w:tc>
        <w:tc>
          <w:tcPr>
            <w:tcW w:w="1051" w:type="dxa"/>
            <w:shd w:val="clear" w:color="auto" w:fill="auto"/>
          </w:tcPr>
          <w:p w:rsidR="0015518B" w:rsidRDefault="004457A1">
            <w:r>
              <w:t>12</w:t>
            </w:r>
          </w:p>
        </w:tc>
      </w:tr>
      <w:tr w:rsidR="0015518B" w:rsidTr="00014ED5">
        <w:trPr>
          <w:trHeight w:val="270"/>
        </w:trPr>
        <w:tc>
          <w:tcPr>
            <w:tcW w:w="1547" w:type="dxa"/>
            <w:shd w:val="clear" w:color="auto" w:fill="auto"/>
          </w:tcPr>
          <w:p w:rsidR="0015518B" w:rsidRDefault="0015518B">
            <w:r>
              <w:t>May</w:t>
            </w:r>
          </w:p>
        </w:tc>
        <w:tc>
          <w:tcPr>
            <w:tcW w:w="1051" w:type="dxa"/>
            <w:shd w:val="clear" w:color="auto" w:fill="auto"/>
          </w:tcPr>
          <w:p w:rsidR="0015518B" w:rsidRDefault="004457A1" w:rsidP="004457A1">
            <w:r>
              <w:t>21</w:t>
            </w:r>
          </w:p>
        </w:tc>
      </w:tr>
      <w:tr w:rsidR="0015518B" w:rsidTr="00014ED5">
        <w:trPr>
          <w:trHeight w:val="253"/>
        </w:trPr>
        <w:tc>
          <w:tcPr>
            <w:tcW w:w="1547" w:type="dxa"/>
            <w:shd w:val="clear" w:color="auto" w:fill="auto"/>
          </w:tcPr>
          <w:p w:rsidR="0015518B" w:rsidRDefault="0015518B">
            <w:r>
              <w:t>Jun</w:t>
            </w:r>
          </w:p>
        </w:tc>
        <w:tc>
          <w:tcPr>
            <w:tcW w:w="1051" w:type="dxa"/>
            <w:shd w:val="clear" w:color="auto" w:fill="auto"/>
          </w:tcPr>
          <w:p w:rsidR="0015518B" w:rsidRDefault="004457A1">
            <w:r>
              <w:t>19</w:t>
            </w:r>
          </w:p>
        </w:tc>
      </w:tr>
      <w:tr w:rsidR="0015518B" w:rsidTr="00014ED5">
        <w:trPr>
          <w:trHeight w:val="270"/>
        </w:trPr>
        <w:tc>
          <w:tcPr>
            <w:tcW w:w="1547" w:type="dxa"/>
            <w:shd w:val="clear" w:color="auto" w:fill="auto"/>
          </w:tcPr>
          <w:p w:rsidR="0015518B" w:rsidRDefault="0015518B">
            <w:r>
              <w:t>Jul</w:t>
            </w:r>
          </w:p>
        </w:tc>
        <w:tc>
          <w:tcPr>
            <w:tcW w:w="1051" w:type="dxa"/>
            <w:shd w:val="clear" w:color="auto" w:fill="auto"/>
          </w:tcPr>
          <w:p w:rsidR="0015518B" w:rsidRDefault="004457A1">
            <w:r>
              <w:t>30</w:t>
            </w:r>
          </w:p>
        </w:tc>
      </w:tr>
      <w:tr w:rsidR="0015518B" w:rsidTr="00014ED5">
        <w:trPr>
          <w:trHeight w:val="270"/>
        </w:trPr>
        <w:tc>
          <w:tcPr>
            <w:tcW w:w="1547" w:type="dxa"/>
            <w:shd w:val="clear" w:color="auto" w:fill="auto"/>
          </w:tcPr>
          <w:p w:rsidR="0015518B" w:rsidRDefault="0015518B">
            <w:r>
              <w:t>Aug</w:t>
            </w:r>
          </w:p>
        </w:tc>
        <w:tc>
          <w:tcPr>
            <w:tcW w:w="1051" w:type="dxa"/>
            <w:shd w:val="clear" w:color="auto" w:fill="auto"/>
          </w:tcPr>
          <w:p w:rsidR="0015518B" w:rsidRDefault="009C496A">
            <w:r>
              <w:t>3</w:t>
            </w:r>
            <w:r w:rsidR="004457A1">
              <w:t>7</w:t>
            </w:r>
          </w:p>
        </w:tc>
      </w:tr>
      <w:tr w:rsidR="0015518B" w:rsidTr="00014ED5">
        <w:trPr>
          <w:trHeight w:val="270"/>
        </w:trPr>
        <w:tc>
          <w:tcPr>
            <w:tcW w:w="1547" w:type="dxa"/>
            <w:shd w:val="clear" w:color="auto" w:fill="auto"/>
          </w:tcPr>
          <w:p w:rsidR="0015518B" w:rsidRDefault="0015518B">
            <w:r>
              <w:t>Sep</w:t>
            </w:r>
          </w:p>
        </w:tc>
        <w:tc>
          <w:tcPr>
            <w:tcW w:w="1051" w:type="dxa"/>
            <w:shd w:val="clear" w:color="auto" w:fill="auto"/>
          </w:tcPr>
          <w:p w:rsidR="0015518B" w:rsidRDefault="004457A1">
            <w:r>
              <w:t>50</w:t>
            </w:r>
          </w:p>
        </w:tc>
      </w:tr>
      <w:tr w:rsidR="0015518B" w:rsidTr="00014ED5">
        <w:trPr>
          <w:trHeight w:val="270"/>
        </w:trPr>
        <w:tc>
          <w:tcPr>
            <w:tcW w:w="1547" w:type="dxa"/>
            <w:shd w:val="clear" w:color="auto" w:fill="auto"/>
          </w:tcPr>
          <w:p w:rsidR="0015518B" w:rsidRDefault="0015518B">
            <w:r>
              <w:t>Oct</w:t>
            </w:r>
          </w:p>
        </w:tc>
        <w:tc>
          <w:tcPr>
            <w:tcW w:w="1051" w:type="dxa"/>
            <w:shd w:val="clear" w:color="auto" w:fill="auto"/>
          </w:tcPr>
          <w:p w:rsidR="0015518B" w:rsidRDefault="009C496A">
            <w:r>
              <w:t>2</w:t>
            </w:r>
            <w:r w:rsidR="004457A1">
              <w:t>8</w:t>
            </w:r>
          </w:p>
        </w:tc>
      </w:tr>
      <w:tr w:rsidR="0015518B" w:rsidTr="00014ED5">
        <w:trPr>
          <w:trHeight w:val="253"/>
        </w:trPr>
        <w:tc>
          <w:tcPr>
            <w:tcW w:w="1547" w:type="dxa"/>
            <w:shd w:val="clear" w:color="auto" w:fill="auto"/>
          </w:tcPr>
          <w:p w:rsidR="0015518B" w:rsidRDefault="0015518B">
            <w:r>
              <w:t>Nov</w:t>
            </w:r>
          </w:p>
        </w:tc>
        <w:tc>
          <w:tcPr>
            <w:tcW w:w="1051" w:type="dxa"/>
            <w:shd w:val="clear" w:color="auto" w:fill="auto"/>
          </w:tcPr>
          <w:p w:rsidR="0015518B" w:rsidRDefault="004457A1">
            <w:r>
              <w:t>11</w:t>
            </w:r>
          </w:p>
        </w:tc>
      </w:tr>
      <w:tr w:rsidR="0015518B" w:rsidTr="002818A9">
        <w:trPr>
          <w:trHeight w:val="270"/>
        </w:trPr>
        <w:tc>
          <w:tcPr>
            <w:tcW w:w="2598" w:type="dxa"/>
            <w:gridSpan w:val="2"/>
            <w:shd w:val="clear" w:color="auto" w:fill="auto"/>
          </w:tcPr>
          <w:p w:rsidR="0015518B" w:rsidRDefault="0015518B" w:rsidP="004457A1">
            <w:r>
              <w:t>n=</w:t>
            </w:r>
            <w:r w:rsidR="004457A1">
              <w:t>223</w:t>
            </w:r>
          </w:p>
        </w:tc>
      </w:tr>
    </w:tbl>
    <w:p w:rsidR="00883191" w:rsidRDefault="003578C1">
      <w:bookmarkStart w:id="0" w:name="_GoBack"/>
      <w:bookmarkEnd w:id="0"/>
      <w:r>
        <w:rPr>
          <w:noProof/>
          <w:lang w:eastAsia="en-US"/>
        </w:rPr>
        <w:drawing>
          <wp:anchor distT="0" distB="0" distL="114300" distR="114300" simplePos="0" relativeHeight="251658240" behindDoc="0" locked="0" layoutInCell="1" allowOverlap="1">
            <wp:simplePos x="0" y="0"/>
            <wp:positionH relativeFrom="column">
              <wp:posOffset>-295275</wp:posOffset>
            </wp:positionH>
            <wp:positionV relativeFrom="paragraph">
              <wp:posOffset>215265</wp:posOffset>
            </wp:positionV>
            <wp:extent cx="3907155" cy="26530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155" cy="2653030"/>
                    </a:xfrm>
                    <a:prstGeom prst="rect">
                      <a:avLst/>
                    </a:prstGeom>
                    <a:noFill/>
                  </pic:spPr>
                </pic:pic>
              </a:graphicData>
            </a:graphic>
            <wp14:sizeRelH relativeFrom="page">
              <wp14:pctWidth>0</wp14:pctWidth>
            </wp14:sizeRelH>
            <wp14:sizeRelV relativeFrom="page">
              <wp14:pctHeight>0</wp14:pctHeight>
            </wp14:sizeRelV>
          </wp:anchor>
        </w:drawing>
      </w:r>
    </w:p>
    <w:p w:rsidR="00014ED5" w:rsidRDefault="00014ED5"/>
    <w:p w:rsidR="005B78B1" w:rsidRDefault="005B78B1">
      <w:pPr>
        <w:rPr>
          <w:noProof/>
        </w:rPr>
      </w:pPr>
    </w:p>
    <w:p w:rsidR="00521C35" w:rsidRDefault="004457A1" w:rsidP="009C496A">
      <w:pPr>
        <w:jc w:val="left"/>
        <w:rPr>
          <w:noProof/>
        </w:rPr>
      </w:pPr>
      <w:r>
        <w:rPr>
          <w:noProof/>
        </w:rPr>
        <w:t xml:space="preserve">The detection of insecticides </w:t>
      </w:r>
      <w:r w:rsidR="00DD4601">
        <w:rPr>
          <w:noProof/>
        </w:rPr>
        <w:t>is roughly on an increasing trend till September. Among the 223 apiaries contaminated by insecticides, 76 were from Region 1. In Feb and Mar, detection mainly appeared in CA and FL, then it gradually moved to the midwest (IL, OK, IN, NE and etc) from April to June. From July, insecticides started to be detected in cooler states such as NY and NJ.</w:t>
      </w:r>
    </w:p>
    <w:p w:rsidR="005B78B1" w:rsidRDefault="005B78B1">
      <w:pPr>
        <w:rPr>
          <w:noProof/>
        </w:rPr>
      </w:pPr>
    </w:p>
    <w:p w:rsidR="005B78B1" w:rsidRDefault="005B78B1">
      <w:pPr>
        <w:rPr>
          <w:noProof/>
        </w:rPr>
      </w:pPr>
    </w:p>
    <w:p w:rsidR="00B91EF9" w:rsidRDefault="00B91EF9">
      <w:pPr>
        <w:rPr>
          <w:noProof/>
        </w:rPr>
      </w:pPr>
    </w:p>
    <w:p w:rsidR="00B91EF9" w:rsidRDefault="00B91EF9">
      <w:pPr>
        <w:rPr>
          <w:noProof/>
        </w:rPr>
      </w:pPr>
    </w:p>
    <w:p w:rsidR="005B78B1" w:rsidRDefault="005B78B1">
      <w:pPr>
        <w:rPr>
          <w:noProof/>
        </w:rPr>
      </w:pPr>
    </w:p>
    <w:p w:rsidR="005B78B1" w:rsidRDefault="005B78B1">
      <w:pPr>
        <w:rPr>
          <w:noProof/>
        </w:rPr>
      </w:pPr>
    </w:p>
    <w:p w:rsidR="005B78B1" w:rsidRDefault="005B78B1">
      <w:pPr>
        <w:rPr>
          <w:noProof/>
        </w:rPr>
      </w:pPr>
    </w:p>
    <w:p w:rsidR="00521C35" w:rsidRDefault="00521C35"/>
    <w:p w:rsidR="004457A1" w:rsidRDefault="004457A1"/>
    <w:sectPr w:rsidR="004457A1">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172A27"/>
    <w:rsid w:val="00014ED5"/>
    <w:rsid w:val="0006464F"/>
    <w:rsid w:val="000A0982"/>
    <w:rsid w:val="00136A4A"/>
    <w:rsid w:val="0015518B"/>
    <w:rsid w:val="00192494"/>
    <w:rsid w:val="00214C00"/>
    <w:rsid w:val="00227068"/>
    <w:rsid w:val="00241D6F"/>
    <w:rsid w:val="002818A9"/>
    <w:rsid w:val="003578C1"/>
    <w:rsid w:val="00363FDA"/>
    <w:rsid w:val="004457A1"/>
    <w:rsid w:val="004A26BF"/>
    <w:rsid w:val="00521C35"/>
    <w:rsid w:val="005565F2"/>
    <w:rsid w:val="005B78B1"/>
    <w:rsid w:val="005C7FC7"/>
    <w:rsid w:val="00792077"/>
    <w:rsid w:val="008429C5"/>
    <w:rsid w:val="00883191"/>
    <w:rsid w:val="009A49E0"/>
    <w:rsid w:val="009C496A"/>
    <w:rsid w:val="00B91EF9"/>
    <w:rsid w:val="00C04248"/>
    <w:rsid w:val="00C14A6D"/>
    <w:rsid w:val="00C23082"/>
    <w:rsid w:val="00CF05C0"/>
    <w:rsid w:val="00D46587"/>
    <w:rsid w:val="00D66FD2"/>
    <w:rsid w:val="00D80344"/>
    <w:rsid w:val="00DD4601"/>
    <w:rsid w:val="00E166F0"/>
    <w:rsid w:val="00E66977"/>
    <w:rsid w:val="00EB4FA7"/>
    <w:rsid w:val="00EF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9B8AF54-A7A2-466C-BB82-CA531362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table" w:styleId="TableGrid">
    <w:name w:val="Table Grid"/>
    <w:basedOn w:val="TableNormal"/>
    <w:uiPriority w:val="99"/>
    <w:unhideWhenUsed/>
    <w:rsid w:val="00883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E2227-12D8-4E7D-8E37-405305AB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206</Words>
  <Characters>1178</Characters>
  <Application>Microsoft Office Word</Application>
  <DocSecurity>0</DocSecurity>
  <PresentationFormat/>
  <Lines>9</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of samples tested</vt:lpstr>
    </vt:vector>
  </TitlesOfParts>
  <Manager/>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of samples tested</dc:title>
  <dc:subject/>
  <dc:creator>Guyu</dc:creator>
  <cp:keywords/>
  <dc:description/>
  <cp:lastModifiedBy>Kathy Baylis</cp:lastModifiedBy>
  <cp:revision>2</cp:revision>
  <dcterms:created xsi:type="dcterms:W3CDTF">2016-02-02T21:43:00Z</dcterms:created>
  <dcterms:modified xsi:type="dcterms:W3CDTF">2016-02-02T21:43:00Z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