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1,607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bookmarkEnd w:id="37"/>
    <w:bookmarkStart w:id="38" w:name="X37c1223a6319ce4b257a1d461a5c6cbc22318fa"/>
    <w:p>
      <w:pPr>
        <w:pStyle w:val="Heading3"/>
      </w:pPr>
      <w:r>
        <w:t xml:space="preserve">4.5 后处理显示：可选，但默认值要有理由</w:t>
      </w:r>
    </w:p>
    <w:p>
      <w:pPr>
        <w:pStyle w:val="FirstParagraph"/>
      </w:pPr>
      <w:r>
        <w:t xml:space="preserve">云图的默认色系是</w:t>
      </w:r>
      <w:r>
        <w:t xml:space="preserve"> </w:t>
      </w:r>
      <w:r>
        <w:rPr>
          <w:bCs/>
          <w:b/>
        </w:rPr>
        <w:t xml:space="preserve">Abaqus 那套彩虹谱</w:t>
      </w:r>
      <w:r>
        <w:t xml:space="preserve">（蓝→青→绿→黄→橙→红）。选它不是</w:t>
      </w:r>
      <w:r>
        <w:t xml:space="preserve"> </w:t>
      </w:r>
      <w:r>
        <w:t xml:space="preserve">为了像谁，是因为</w:t>
      </w:r>
      <w:r>
        <w:rPr>
          <w:bCs/>
          <w:b/>
        </w:rPr>
        <w:t xml:space="preserve">同样 12 级，相邻两级的色差最大</w:t>
      </w:r>
      <w:r>
        <w:t xml:space="preserve">，读图的人最不容易把</w:t>
      </w:r>
      <w:r>
        <w:t xml:space="preserve"> </w:t>
      </w:r>
      <w:r>
        <w:t xml:space="preserve">两级看混。代价也写在界面上：彩虹谱的明度不单调，</w:t>
      </w:r>
      <w:r>
        <w:rPr>
          <w:bCs/>
          <w:b/>
        </w:rPr>
        <w:t xml:space="preserve">色盲用户和黑白打印读不出</w:t>
      </w:r>
      <w:r>
        <w:rPr>
          <w:bCs/>
          <w:b/>
        </w:rPr>
        <w:t xml:space="preserve"> </w:t>
      </w:r>
      <w:r>
        <w:rPr>
          <w:bCs/>
          <w:b/>
        </w:rPr>
        <w:t xml:space="preserve">高低顺序</w:t>
      </w:r>
      <w:r>
        <w:t xml:space="preserve">——所以它是默认项不是唯一项，蓝—灰—红（发散）与单蓝（顺序）</w:t>
      </w:r>
      <w:r>
        <w:t xml:space="preserve"> </w:t>
      </w:r>
      <w:r>
        <w:t xml:space="preserve">两套一并保留，在结果面板「色系」里换。</w:t>
      </w:r>
    </w:p>
    <w:p>
      <w:pPr>
        <w:pStyle w:val="BodyText"/>
      </w:pPr>
      <w:r>
        <w:t xml:space="preserve">另外两个开关同理，都只改显示、不碰任何数值：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「立体」</w:t>
      </w:r>
      <w:r>
        <w:t xml:space="preserve">：给云图打一层高环境光、低漫反射的柔和光照，圆管看得出是圆的。</w:t>
      </w:r>
      <w:r>
        <w:t xml:space="preserve"> </w:t>
      </w:r>
      <w:r>
        <w:t xml:space="preserve">要严格照色标读数就关掉，关掉是纯平涂——</w:t>
      </w:r>
      <w:r>
        <w:rPr>
          <w:bCs/>
          <w:b/>
        </w:rPr>
        <w:t xml:space="preserve">打光与精确读数本来就是一对矛盾</w:t>
      </w:r>
      <w:r>
        <w:t xml:space="preserve">，</w:t>
      </w:r>
      <w:r>
        <w:t xml:space="preserve"> </w:t>
      </w:r>
      <w:r>
        <w:t xml:space="preserve">与其替用户选，不如把两头都留着并说清楚各自适合什么。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「荷载数值」</w:t>
      </w:r>
      <w:r>
        <w:t xml:space="preserve">（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页）：荷载箭头旁的数字可以整体关掉，箭头保留。</w:t>
      </w:r>
      <w:r>
        <w:t xml:space="preserve"> </w:t>
      </w:r>
      <w:r>
        <w:t xml:space="preserve">模型一大，几十个数字糊成一片，遮住的正是它们要说明的那根杆件。</w:t>
      </w:r>
    </w:p>
    <w:p>
      <w:pPr>
        <w:pStyle w:val="FirstParagraph"/>
      </w:pPr>
      <w:r>
        <w:t xml:space="preserve">界面另有</w:t>
      </w:r>
      <w:r>
        <w:rPr>
          <w:bCs/>
          <w:b/>
        </w:rPr>
        <w:t xml:space="preserve">中英文切换</w:t>
      </w:r>
      <w:r>
        <w:t xml:space="preserve">（</w:t>
      </w:r>
      <w:r>
        <w:rPr>
          <w:rStyle w:val="VerbatimChar"/>
        </w:rPr>
        <w:t xml:space="preserve">desktop/i18n.py</w:t>
      </w:r>
      <w:r>
        <w:t xml:space="preserve">）。范围写在按钮提示里：</w:t>
      </w:r>
      <w:r>
        <w:t xml:space="preserve"> </w:t>
      </w:r>
      <w:r>
        <w:t xml:space="preserve">翻的是功能区、菜单、流程条、结果面板这些界面骨架，</w:t>
      </w:r>
      <w:r>
        <w:rPr>
          <w:bCs/>
          <w:b/>
        </w:rPr>
        <w:t xml:space="preserve">对话框正文与报错仍是中文</w:t>
      </w:r>
      <w:r>
        <w:t xml:space="preserve">。</w:t>
      </w:r>
      <w:r>
        <w:t xml:space="preserve"> </w:t>
      </w:r>
      <w: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8d068b13943dc39009b63218be5c02d1431fcf2"/>
    <w:p>
      <w:pPr>
        <w:pStyle w:val="Heading2"/>
      </w:pPr>
      <w:r>
        <w:t xml:space="preserve">5 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8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8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8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2"/>
    <w:bookmarkStart w:id="43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5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5"/>
    <w:bookmarkStart w:id="46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6"/>
    <w:bookmarkStart w:id="47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7"/>
    <w:bookmarkStart w:id="48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3fd59c4956fbcd23ca9f1340b2615cdae415aca"/>
    <w:p>
      <w:pPr>
        <w:pStyle w:val="Heading2"/>
      </w:pPr>
      <w:r>
        <w:t xml:space="preserve">7 结论、不足与展望</w:t>
      </w:r>
    </w:p>
    <w:bookmarkStart w:id="50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1,607 项</w:t>
      </w:r>
      <w:r>
        <w:t xml:space="preserve">。</w:t>
      </w:r>
    </w:p>
    <w:bookmarkEnd w:id="50"/>
    <w:bookmarkStart w:id="51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2,900 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1607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2026-09-11T06:23:15Z</dcterms:created>
  <dcterms:modified xsi:type="dcterms:W3CDTF">2026-09-11T06:23:15Z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