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空间刚架分析报告</w:t>
      </w:r>
    </w:p>
    <w:p>
      <w:r>
        <w:rPr>
          <w:rFonts w:ascii="微软雅黑" w:hAnsi="微软雅黑" w:eastAsia="微软雅黑"/>
          <w:b w:val="0"/>
          <w:i w:val="0"/>
          <w:color w:val="6B6B6B"/>
          <w:sz w:val="18"/>
        </w:rPr>
        <w:t>生成时间 2026-10-11 21:33　·　模型单位制 N-m-Pa　·　报告单位：位移 mm、力 kN、弯矩 kN·m</w:t>
      </w:r>
    </w:p>
    <w:p>
      <w:r>
        <w:rPr>
          <w:rFonts w:ascii="微软雅黑" w:hAnsi="微软雅黑" w:eastAsia="微软雅黑"/>
          <w:b w:val="0"/>
          <w:i w:val="0"/>
          <w:color w:val="6B6B6B"/>
          <w:sz w:val="18"/>
        </w:rPr>
        <w:t>求解编号：e56b0635485e4283bb1fbb71b4958546　·　模型指纹：56db1897bc4be1dd56216e11a6763c48　·　求解参数：{'analysis': 'linear', 'increments': 10, 'max_iter': 40, 'tolerance': 1e-07, 'amplitudes': None}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报告中每一个数字都来自求解工具的返回值，与界面、评测集走同一条计算链路。</w:t>
      </w:r>
    </w:p>
    <w:p>
      <w:pPr>
        <w:pStyle w:val="Heading1"/>
      </w:pPr>
      <w:r>
        <w:rPr>
          <w:rFonts w:ascii="微软雅黑" w:hAnsi="微软雅黑" w:eastAsia="微软雅黑"/>
        </w:rPr>
        <w:t>一、模型概况</w:t>
      </w:r>
    </w:p>
    <w:p>
      <w:r>
        <w:rPr>
          <w:rFonts w:ascii="微软雅黑" w:hAnsi="微软雅黑" w:eastAsia="微软雅黑"/>
          <w:b w:val="0"/>
          <w:i w:val="0"/>
          <w:sz w:val="21"/>
        </w:rPr>
        <w:t>节点 12 个，杆件 13 根，支座 6 个（其中全固接 6 个）。</w:t>
      </w:r>
    </w:p>
    <w:p>
      <w:r>
        <w:rPr>
          <w:rFonts w:ascii="微软雅黑" w:hAnsi="微软雅黑" w:eastAsia="微软雅黑"/>
          <w:b/>
          <w:i w:val="0"/>
          <w:sz w:val="21"/>
        </w:rPr>
        <w:t>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密度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Q355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2.0600e+11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7850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截面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Iz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J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0.017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1.3582e-04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3.9506e-04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1.7801e-06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0.0061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9.8349e-06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1.3123e-04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1.9278e-07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 w:val="0"/>
          <w:i w:val="0"/>
          <w:sz w:val="21"/>
        </w:rPr>
        <w:t>荷载工况：G</w:t>
      </w:r>
    </w:p>
    <w:p>
      <w:r>
        <w:rPr>
          <w:rFonts w:ascii="微软雅黑" w:hAnsi="微软雅黑" w:eastAsia="微软雅黑"/>
          <w:b w:val="0"/>
          <w:i w:val="0"/>
          <w:sz w:val="21"/>
        </w:rPr>
        <w:t>荷载组合：（无）</w:t>
      </w:r>
    </w:p>
    <w:p>
      <w:pPr>
        <w:pStyle w:val="Heading1"/>
      </w:pPr>
      <w:r>
        <w:rPr>
          <w:rFonts w:ascii="微软雅黑" w:hAnsi="微软雅黑" w:eastAsia="微软雅黑"/>
        </w:rPr>
        <w:t>二、求解与校验</w:t>
      </w:r>
    </w:p>
    <w:p>
      <w:r>
        <w:rPr>
          <w:rFonts w:ascii="微软雅黑" w:hAnsi="微软雅黑" w:eastAsia="微软雅黑"/>
          <w:b w:val="0"/>
          <w:i w:val="0"/>
          <w:sz w:val="21"/>
        </w:rPr>
        <w:t>模型先过两级校验（JSON 结构 + 力学语义）才求解；刚度矩阵奇异会被主元检查拦下并定位到具体节点方向。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工况 / 组合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最大节点位移 (mm)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静力平衡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平衡残差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0.0424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2.16e-16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</w:rPr>
        <w:t>三、位移</w:t>
      </w:r>
    </w:p>
    <w:p>
      <w:r>
        <w:rPr>
          <w:rFonts w:ascii="微软雅黑" w:hAnsi="微软雅黑" w:eastAsia="微软雅黑"/>
          <w:b w:val="0"/>
          <w:i w:val="0"/>
          <w:sz w:val="21"/>
        </w:rPr>
        <w:t>最大节点位移 0.0424 mm，位于节点 8。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最大杆件挠度 0.7700 mm，位于杆件 9 的 x = 2.880 m 处；该杆件长 6.000 m，杆长与挠度之比 1/7792。</w:t>
      </w:r>
    </w:p>
    <w:p>
      <w:r>
        <w:rPr>
          <w:rFonts w:ascii="微软雅黑" w:hAnsi="微软雅黑" w:eastAsia="微软雅黑"/>
          <w:b w:val="0"/>
          <w:i w:val="0"/>
          <w:color w:val="6B6B6B"/>
          <w:sz w:val="18"/>
        </w:rPr>
        <w:t>两点要说明。其一，节点位移只在节点上取值，单跨划一个单元时跨中根本没有节点，报出来的数会小一个量级；校核必须用杆件挠度——它由精确弯矩两次积分得到，与网格疏密无关。其二，上面那个比值的分母是这一根杆件的长度，不是设计跨度：门式刚架的斜梁由两根杆组成，梁划成几个单元时差得更多。要对 L/400 这类限值，请按实际设计跨度另行换算。</w:t>
      </w:r>
    </w:p>
    <w:p>
      <w:pPr>
        <w:pStyle w:val="Heading1"/>
      </w:pPr>
      <w:r>
        <w:rPr>
          <w:rFonts w:ascii="微软雅黑" w:hAnsi="微软雅黑" w:eastAsia="微软雅黑"/>
        </w:rPr>
        <w:t>四、支座反力</w:t>
      </w:r>
    </w:p>
    <w:p>
      <w:r>
        <w:rPr>
          <w:rFonts w:ascii="微软雅黑" w:hAnsi="微软雅黑" w:eastAsia="微软雅黑"/>
          <w:b w:val="0"/>
          <w:i w:val="0"/>
          <w:sz w:val="21"/>
        </w:rPr>
        <w:t>竖向反力合计 180.000 kN。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节点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z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Fx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Fy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Fz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5.0508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24.3621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41.2758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-5.0508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24.3621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5.0508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24.3621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41.2758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-5.0508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-1.9255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24.3621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</w:rPr>
        <w:t>五、内力极值与控制组合</w:t>
      </w:r>
    </w:p>
    <w:p>
      <w:r>
        <w:rPr>
          <w:rFonts w:ascii="微软雅黑" w:hAnsi="微软雅黑" w:eastAsia="微软雅黑"/>
          <w:b w:val="0"/>
          <w:i w:val="0"/>
          <w:sz w:val="21"/>
        </w:rPr>
        <w:t>包络逐点取各组合的上下界。同一根杆上跨中与支座常由不同组合控制，所以表中的控制组合是对应那一点的，不能推广到整根杆。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最不利值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杆件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位置 x (m)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控制组合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轴力 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-41.2758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剪力 Vy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15.6379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剪力 Vz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-1.9255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扭矩 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kN·m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弯矩 My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-4.6344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kN·m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3.6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弯矩 Mz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-16.2497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kN·m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</w:rPr>
        <w:t>六、自振特性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频率 (Hz)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周期 (s)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13.0392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0.0767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15.2787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0.0655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16.2105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0.0617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19.6817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0.0508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19.7268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0.0507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22.8326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0.0438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 w:val="0"/>
          <w:i w:val="0"/>
          <w:color w:val="6B6B6B"/>
          <w:sz w:val="18"/>
        </w:rPr>
        <w:t>总质量 4626.8 kg；累计参与质量比 X/Y/Z = 0.911 / 0.972 / 0.000。分母是能参与振动的质量，不是总质量——压在支座上的那部分永远不参与。不到 0.9 时按 GB 50011 要加大阶数。</w:t>
      </w:r>
    </w:p>
    <w:p>
      <w:pPr>
        <w:pStyle w:val="Heading1"/>
      </w:pPr>
      <w:r>
        <w:rPr>
          <w:rFonts w:ascii="微软雅黑" w:hAnsi="微软雅黑" w:eastAsia="微软雅黑"/>
        </w:rPr>
        <w:t>七、稳定</w:t>
      </w:r>
    </w:p>
    <w:p>
      <w:r>
        <w:rPr>
          <w:rFonts w:ascii="微软雅黑" w:hAnsi="微软雅黑" w:eastAsia="微软雅黑"/>
          <w:b w:val="0"/>
          <w:i w:val="0"/>
          <w:sz w:val="21"/>
        </w:rPr>
        <w:t>工况 G 下的临界荷载因子 λ = 232.909（前几阶：232.909、333.626、434.098）。最受压杆件是 2 号，轴力 -41.276 kN。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这是线性特征值屈曲，假定失稳前保持线弹性、变形小、轴力不随变形改变。真实结构有初始缺陷与残余应力，实际承载力低于此值——只能当上限，不能直接当承载力用。</w:t>
      </w:r>
    </w:p>
    <w:p>
      <w:pPr>
        <w:pStyle w:val="Heading1"/>
      </w:pPr>
      <w:r>
        <w:rPr>
          <w:rFonts w:ascii="微软雅黑" w:hAnsi="微软雅黑" w:eastAsia="微软雅黑"/>
        </w:rPr>
        <w:t>八、强度验算与逐杆稳定校核</w:t>
      </w:r>
    </w:p>
    <w:p>
      <w:r>
        <w:rPr>
          <w:rFonts w:ascii="微软雅黑" w:hAnsi="微软雅黑" w:eastAsia="微软雅黑"/>
          <w:b w:val="0"/>
          <w:i w:val="0"/>
          <w:sz w:val="21"/>
        </w:rPr>
        <w:t>逐杆取最不利截面的极端纤维正应力，拉、压分别对各自的许用值——抗拉抗压不同的材料用一个 [σ] 去卡，受拉那侧会漏判。受压杆再按欧拉公式 Pcr = π²EI/(μl)² 逐根校核。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杆件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截面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应力比 σ/[σ]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控制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轴力 (kN)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Pcr (kN)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N/Pcr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λ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μ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0.0423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0.005；欧拉公式在此柔度段不适用）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-24.362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0.0275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0.008；欧拉公式在此柔度段不适用）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-41.276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0.0423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0.005；欧拉公式在此柔度段不适用）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-24.362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0.0423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0.005；欧拉公式在此柔度段不适用）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-24.362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0.0275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0.008；欧拉公式在此柔度段不适用）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-41.276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COL-H350x350x12x19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0.0423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类，φ=0.954，应力比 0.005；欧拉公式在此柔度段不适用）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-24.362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85226.004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20.2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0.0737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类，φ=0.607，应力比 0.004；欧拉公式在此柔度段不适用）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-5.051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2221.745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0.0737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类，φ=0.607，应力比 0.004；欧拉公式在此柔度段不适用）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-5.051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2221.745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0.0737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类，φ=0.607，应力比 0.004；欧拉公式在此柔度段不适用）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-5.051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2221.745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0.0737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类，φ=0.607，应力比 0.004；欧拉公式在此柔度段不适用）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-5.051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2221.745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0.0245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类，φ=0.800，应力比 0.001；欧拉公式在此柔度段不适用）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-1.926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4998.927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0.0245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类，φ=0.800，应力比 0.001；欧拉公式在此柔度段不适用）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-1.926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4998.927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BEAM-H350x175x7x11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0.0245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受压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通过（稳定按 GB 50017 b 类，φ=0.800，应力比 0.001；欧拉公式在此柔度段不适用）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-1.926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4998.927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4.0000e-04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μ 由杆端释放推定，只对**无侧移**结构成立。有侧移的框架柱 μ&gt;1（悬臂柱 2.0），此时推定值偏小、Pcr 偏大、判定偏不安全。请在杆件上显式给 mu_y / mu_z，或用特征值屈曲分析核对。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欧拉公式在这根杆上不适用，但规范法给出了结论：φ=0.9540（b 类截面），N/(φA)=1.5 MPa，应力比 0.005 —— 以这一条为准。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部分杆件的长细比小于 λp=75.7，属于中小柔度杆，欧拉公式不适用（算出的 σcr 已超过屈服应力）。这类杆的稳定由强度或经验公式控制，**不能用这里的 Pcr 判**；照着算出来的 N/Pcr 往往很小，正是「照着算就会误判通过」的情形。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欧拉公式在这根杆上不适用，但规范法给出了结论：φ=0.9540（b 类截面），N/(φA)=2.5 MPa，应力比 0.008 —— 以这一条为准。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欧拉公式在这根杆上不适用，但规范法给出了结论：φ=0.6065（b 类截面），N/(φA)=1.4 MPa，应力比 0.004 —— 以这一条为准。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欧拉公式在这根杆上不适用，但规范法给出了结论：φ=0.7996（b 类截面），N/(φA)=0.4 MPa，应力比 0.001 —— 以这一条为准。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边界：正应力校核按拉压分别比许用值；折算应力 √(σ²+3τ²) 另算一条，在极端纤维、中性轴、腹板边缘三处取最不利。**仍不含扭转剪应力**（截面契约里没有扭转常数之外的壁厚分布），所以还不是完整的规范承载力验算。逐杆欧拉校核回答「这一根会不会先屈」，特征值屈曲分析回答「整体什么时候失稳」，两者不能互相替代。</w:t>
      </w:r>
    </w:p>
    <w:p>
      <w:pPr>
        <w:pStyle w:val="Heading1"/>
      </w:pPr>
      <w:r>
        <w:rPr>
          <w:rFonts w:ascii="微软雅黑" w:hAnsi="微软雅黑" w:eastAsia="微软雅黑"/>
        </w:rPr>
        <w:t>九、对称性</w:t>
      </w:r>
    </w:p>
    <w:p>
      <w:r>
        <w:rPr>
          <w:rFonts w:ascii="微软雅黑" w:hAnsi="微软雅黑" w:eastAsia="微软雅黑"/>
          <w:b w:val="0"/>
          <w:i w:val="0"/>
          <w:sz w:val="21"/>
        </w:rPr>
        <w:t>结构关于 x = 6 对称，工况 G（对称） 也对称，可用对称位置的位移与内力互为镜像来校核结果；结构关于 y = 2 对称，工况 G（对称） 也对称，可用对称位置的位移与内力互为镜像来校核结果。本程序直接求解全结构，不做半结构简化。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把对称性当校核手段用：结构与荷载都对称时，对称位置的位移必须互为镜像。这条校核不需要任何外部参照——结构自己就是自己的对照组。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对称面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最大相对偏差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x = 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对称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9.7e-16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y = 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对称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5.4e-16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**不做半结构简化**：对称面上的边界条件写错不报错，只会给出一个看着合理的错答案；而整解本来就很快，省下的算力不值这个风险。对称性在这里当**校核手段**用。</w:t>
      </w:r>
    </w:p>
    <w:p>
      <w:pPr>
        <w:pStyle w:val="Heading1"/>
      </w:pPr>
      <w:r>
        <w:rPr>
          <w:rFonts w:ascii="微软雅黑" w:hAnsi="微软雅黑" w:eastAsia="微软雅黑"/>
        </w:rPr>
        <w:t>十、节点编号与总刚存储</w:t>
      </w:r>
    </w:p>
    <w:p>
      <w:r>
        <w:rPr>
          <w:rFonts w:ascii="微软雅黑" w:hAnsi="微软雅黑" w:eastAsia="微软雅黑"/>
          <w:b w:val="0"/>
          <w:i w:val="0"/>
          <w:sz w:val="21"/>
        </w:rPr>
        <w:t>自由度 36 个。一根杆两端的最大节点号差 6，据此估计的半带宽 42（上界，支座消元后更小）；矩阵的实际半带宽 24，RCM 重编号后 17。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相对满阵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满阵 n²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1296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等带宽 n·b（§3-10）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47.2%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一维变带宽（§4-6，当前编号）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473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36.5%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一维变带宽（RCM 重编号后）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30.9%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稀疏（只存非零元，本程序默认）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55.6%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12"/>
        </w:rPr>
      </w:r>
    </w:p>
    <w:p>
      <w:r>
        <w:rPr>
          <w:rFonts w:ascii="微软雅黑" w:hAnsi="微软雅黑" w:eastAsia="微软雅黑"/>
          <w:b w:val="0"/>
          <w:i w:val="0"/>
          <w:color w:val="6B6B6B"/>
          <w:sz w:val="18"/>
        </w:rPr>
        <w:t>满阵→等带宽（§3-10）→一维变带宽（§4-6）是讲义的三步，每一步都靠「非零元集中在对角线附近」这一点省下存储。本例规模小，稀疏存储的非零元数反而多于变带宽存储量：刚架的带内几乎填满，变带宽存的零不多，而稀疏还要另付行列索引的开销。规模一大、带宽相对变窄，稀疏才反超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用讲义的一维变带宽 LDLᵀ 把同一个方程组再解一遍，与默认的稀疏 LU 相比最大相对偏差 5.3e-16（一致）。两条路径共用同一份装配、约束消元与反力回算，只有分解这一步不同。</w:t>
      </w:r>
    </w:p>
    <w:p>
      <w:r>
        <w:rPr>
          <w:rFonts w:ascii="微软雅黑" w:hAnsi="微软雅黑" w:eastAsia="微软雅黑"/>
          <w:b w:val="0"/>
          <w:i/>
          <w:color w:val="6B6B6B"/>
          <w:sz w:val="18"/>
        </w:rPr>
        <w:t>重编号**只在求解内部发生**，模型里的节点号一个都没变。</w:t>
      </w:r>
    </w:p>
    <w:p>
      <w:pPr>
        <w:pStyle w:val="Heading1"/>
      </w:pPr>
      <w:r>
        <w:rPr>
          <w:rFonts w:ascii="微软雅黑" w:hAnsi="微软雅黑" w:eastAsia="微软雅黑"/>
        </w:rPr>
        <w:t>十一、图</w:t>
      </w:r>
    </w:p>
    <w:p>
      <w:r>
        <w:rPr>
          <w:rFonts w:ascii="微软雅黑" w:hAnsi="微软雅黑" w:eastAsia="微软雅黑"/>
          <w:b/>
          <w:i w:val="0"/>
          <w:sz w:val="21"/>
        </w:rPr>
        <w:t>变形图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16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ormed_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1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i w:val="0"/>
          <w:sz w:val="21"/>
        </w:rPr>
        <w:t>轴力图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78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al_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i w:val="0"/>
          <w:sz w:val="21"/>
        </w:rPr>
        <w:t>弯矩图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06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z_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i w:val="0"/>
          <w:sz w:val="21"/>
        </w:rPr>
        <w:t>剪力图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06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_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65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