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顶部默认展开完整模块功能区，下方保留常驻工具栏与分析流程。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模型树、属性与结果等面板的标题栏右侧有独立窗口图标。移出后可并排查看模型与表格，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关闭独立窗口后仍可从原侧栏入口重开。截面优化默认使用独立窗口，也可停靠回底部。</w:t>
      </w:r>
      <w:r>
        <w:t xml:space="preserve"> </w:t>
      </w:r>
      <w:r>
        <w:rPr>
          <w:rFonts w:hint="eastAsia"/>
        </w:rPr>
        <w:t xml:space="preserve">拖动面板内侧边缘可调尺寸，双击边缘恢复默认；Tab</w:t>
      </w:r>
      <w:r>
        <w:t xml:space="preserve"> </w:t>
      </w:r>
      <w:r>
        <w:rPr>
          <w:rFonts w:hint="eastAsia"/>
        </w:rPr>
        <w:t xml:space="preserve">可定位侧栏入口，空格可开关。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2026-10-08T11:39:52Z</dcterms:created>
  <dcterms:modified xsi:type="dcterms:W3CDTF">2026-10-08T11:39:52Z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