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顶部默认保留功能页签和一行常用工具。选中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</w:t>
      </w:r>
      <w:r>
        <w:t xml:space="preserve"> </w:t>
      </w:r>
      <w:r>
        <w:rPr>
          <w:rFonts w:hint="eastAsia"/>
        </w:rPr>
        <w:t xml:space="preserve">点击右上角的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可展开完整功能区，再次点击收起命令恢复紧凑布局。</w:t>
      </w:r>
      <w:r>
        <w:t xml:space="preserve"> </w:t>
      </w:r>
      <w:r>
        <w:rPr>
          <w:rFonts w:hint="eastAsia"/>
        </w:rPr>
        <w:t xml:space="preserve">视角、编辑与显示模式通过带文字的菜单切换。分析流程入口与下一步操作位于底部状态栏。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点击极值卡片可定位对应杆件，点击清单可筛选相应结果。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使用底部流程菜单和下一步按钮：建模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2026-10-08T06:17:09Z</dcterms:created>
  <dcterms:modified xsi:type="dcterms:W3CDTF">2026-10-08T06:17:09Z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