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42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顶部默认展开完整模块功能区，下方保留常驻工具栏与分析流程。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模型树、属性与结果等面板的标题栏右侧有独立窗口图标。移出后可并排查看模型与表格，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关闭独立窗口后仍可从原侧栏入口重开。截面优化默认使用独立窗口，也可停靠回底部。</w:t>
      </w:r>
      <w:r>
        <w:t xml:space="preserve"> </w:t>
      </w:r>
      <w:r>
        <w:rPr>
          <w:rFonts w:hint="eastAsia"/>
        </w:rPr>
        <w:t xml:space="preserve">拖动面板内侧边缘可调尺寸，双击边缘恢复默认；Tab</w:t>
      </w:r>
      <w:r>
        <w:t xml:space="preserve"> </w:t>
      </w:r>
      <w:r>
        <w:rPr>
          <w:rFonts w:hint="eastAsia"/>
        </w:rPr>
        <w:t xml:space="preserve">可定位侧栏入口，空格可开关。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9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分析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单元应力，单位</w:t>
            </w:r>
            <w:r>
              <w:t xml:space="preserve"> </w:t>
            </w:r>
            <w:r>
              <w:rPr>
                <w:rFonts w:hint="eastAsia"/>
              </w:rPr>
              <w:t xml:space="preserve">MPa，不进行跨单元平均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000375"/>
            <wp:effectExtent b="0" l="0" r="0" t="0"/>
            <wp:docPr descr="节点实体主视口" title="" id="37" name="Picture"/>
            <a:graphic>
              <a:graphicData uri="http://schemas.openxmlformats.org/drawingml/2006/picture">
                <pic:pic>
                  <pic:nvPicPr>
                    <pic:cNvPr descr="手册图/06-实体云图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0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0"/>
    <w:bookmarkStart w:id="41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43"/>
    <w:bookmarkStart w:id="44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4"/>
    <w:bookmarkStart w:id="45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2026-10-09T04:43:00Z</dcterms:created>
  <dcterms:modified xsi:type="dcterms:W3CDTF">2026-10-09T04:43:00Z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