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自研节点实体默认不设自由度数量上限，超过原来的</w:t>
      </w:r>
      <w:r>
        <w:t xml:space="preserve"> 18 </w:t>
      </w:r>
      <w:r>
        <w:rPr>
          <w:rFonts w:hint="eastAsia"/>
        </w:rPr>
        <w:t xml:space="preserve">万自由度也可进入求解；</w:t>
      </w:r>
      <w:r>
        <w:t xml:space="preserve"> </w:t>
      </w:r>
      <w:r>
        <w:t xml:space="preserve">8 </w:t>
      </w:r>
      <w:r>
        <w:rPr>
          <w:rFonts w:hint="eastAsia"/>
        </w:rPr>
        <w:t xml:space="preserve">万个</w:t>
      </w:r>
      <w:r>
        <w:t xml:space="preserve"> C3D10 </w:t>
      </w:r>
      <w:r>
        <w:rPr>
          <w:rFonts w:hint="eastAsia"/>
        </w:rPr>
        <w:t xml:space="preserve">单元的默认预算仍生效。计算所需内存和时间随网格规模增加。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2026-10-16T14:33:27Z</dcterms:created>
  <dcterms:modified xsi:type="dcterms:W3CDTF">2026-10-16T14:33:27Z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