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3,022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29,713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同日接入DXF入口（src/drawing_dxf.py）：间距取尺寸标注实体的实测值、原文另存并互相核对，标高取标高符号旁的文字，</w:t>
      </w:r>
      <w:r>
        <w:t xml:space="preserve"> </w:t>
      </w:r>
      <w:r>
        <w:rPr>
          <w:rFonts w:hint="eastAsia"/>
        </w:rPr>
        <w:t xml:space="preserve">出处为实体句柄；图层对应轴线、梁、柱等用途只由用户或大模型判断并进入核对表确认，组装与图片入口共用。</w:t>
      </w:r>
      <w:r>
        <w:t xml:space="preserve"> </w:t>
      </w:r>
      <w:r>
        <w:rPr>
          <w:rFonts w:hint="eastAsia"/>
        </w:rPr>
        <w:t xml:space="preserve">本版只支持正交轴网，DXF只读立面单线图，PDF入口留待后续；尚无真实图纸语料，不宣称识别准确率。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实体内核性能专项：固定积分点导数复用及应变矩阵向量化后，本机384个C3D10、2187自由度小模型的完整组装、求解与应力恢复从0.536秒降至0.211秒（三次交替测量的中位数），位移和积分点应力逐值一致；500次单元刚度计算从0.278秒降至0.070秒。该结果不外推为40万自由度模型的耗时保证，大模型的矩阵分解及内存仍需单独评测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3,022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3,022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2026-10-16T14:50:27Z</dcterms:created>
  <dcterms:modified xsi:type="dcterms:W3CDTF">2026-10-16T14:50:27Z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