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当前位移驱动要求线性静力整体解，且实体保留区域内没有尚未重建的直接载荷或温度场。</w:t>
      </w:r>
      <w:r>
        <w:t xml:space="preserve"> </w:t>
      </w:r>
      <w:r>
        <w:rPr>
          <w:rFonts w:hint="eastAsia"/>
        </w:rPr>
        <w:t xml:space="preserve">提示存在区域载荷时，应先定义实体加载区域，或通过工具参数</w:t>
      </w:r>
      <w:r>
        <w:t xml:space="preserve"> </w:t>
      </w:r>
      <w:r>
        <w:rPr>
          <w:rStyle w:val="VerbatimChar"/>
        </w:rPr>
        <w:t xml:space="preserve">loading_method="force"</w:t>
      </w:r>
      <w:r>
        <w:t xml:space="preserve"> </w:t>
      </w:r>
      <w:r>
        <w:rPr>
          <w:rFonts w:hint="eastAsia"/>
        </w:rPr>
        <w:t xml:space="preserve">执行原六分量内力加载对照。几何仍限于同材料、无刚域偏移的圆钢/圆管；应检查整体与实体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2026-10-13T04:46:02Z</dcterms:created>
  <dcterms:modified xsi:type="dcterms:W3CDTF">2026-10-13T04:46:02Z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