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28,129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29,488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2,336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20,330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2,336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本轮没有扩展实体几何范围，仍限同材料、无刚域偏移圆钢/圆管及线性静力整体解。</w:t>
      </w:r>
      <w:r>
        <w:t xml:space="preserve"> </w:t>
      </w:r>
      <w:r>
        <w:rPr>
          <w:rFonts w:hint="eastAsia"/>
        </w:rPr>
        <w:t xml:space="preserve">实体保留区域的直接荷载、分布荷载或温度初应变未重建时拒绝分析，避免只驱动边界而漏载。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2336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2026-10-13T04:46:00Z</dcterms:created>
  <dcterms:modified xsi:type="dcterms:W3CDTF">2026-10-13T04:46:00Z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