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 总则</w:t>
      </w:r>
    </w:p>
    <w:p>
      <w:r>
        <w:t>边缘节点是指部署在网络边缘、承担就近计算任务的物理或虚拟节点。</w:t>
      </w:r>
    </w:p>
    <w:p>
      <w:r>
        <w:t>本平台使用 MEC（多接入边缘计算）作为边缘侧的统一技术底座。</w:t>
      </w:r>
    </w:p>
    <w:p>
      <w:r>
        <w:t>EN 的资源规格由资源池统一分配。</w:t>
      </w:r>
    </w:p>
    <w:p>
      <w:r>
        <w:t>星云平台负责统一调度；星云平台的资源视图对上层透明。</w:t>
      </w:r>
    </w:p>
    <w:p>
      <w:r>
        <w:t>核心链路端到端时延目标为不超过 200ms。</w:t>
      </w:r>
    </w:p>
    <w:p>
      <w:r>
        <w:t>本期总预算按三部分构成：基础设施 50%、平台研发 30%、运营支撑 15%。</w:t>
      </w:r>
    </w:p>
    <w:p>
      <w:r>
        <w:t>一期上线时间定为 2026 年 3 月。</w:t>
      </w:r>
    </w:p>
    <w:p>
      <w:r>
        <w:t>星云平台当前版本为 v2.3。</w:t>
      </w:r>
    </w:p>
    <w:p>
      <w:r>
        <w:t>详见第 9.9 节的容灾设计说明。</w:t>
      </w:r>
    </w:p>
    <w:p>
      <w:r>
        <w:t>多租户隔离能力当前不支持，计划二期建设。</w:t>
      </w:r>
    </w:p>
    <w:p>
      <w:r>
        <w:t>灰度发布必须覆盖全部核心链路。</w:t>
      </w:r>
    </w:p>
    <w:p>
      <w:r>
        <w:t>数据出域申请由数据 owner 审批。</w:t>
      </w:r>
    </w:p>
    <w:p>
      <w:r>
        <w:t>服务架构采用微服务。</w:t>
      </w:r>
    </w:p>
    <w:p>
      <w:r>
        <w:t>本期设定目标 O1：实现研发效率提升 30%。</w:t>
      </w:r>
    </w:p>
    <w:p>
      <w:r>
        <w:t>本期开展举措 I9：建设统一日志平台。</w:t>
      </w:r>
    </w:p>
    <w:p>
      <w:r>
        <w:t>为实现目标 O2（缺陷率下降 15%），本期开展举措 I8：建设统一构建平台。</w:t>
      </w:r>
    </w:p>
    <w:p>
      <w:r>
        <w:t>验收标准：I8 的构建成功率不低于 99%。</w:t>
      </w:r>
    </w:p>
    <w:p>
      <w:r>
        <w:t>平台可用性不低于 99.95%。</w:t>
      </w:r>
    </w:p>
    <w:p>
      <w:pPr>
        <w:pStyle w:val="Heading1"/>
      </w:pPr>
      <w:r>
        <w:t>2 架构设计</w:t>
      </w:r>
    </w:p>
    <w:p>
      <w:r>
        <w:t>边缘节点指的是靠近用户侧、用于内容缓存的专用服务器。</w:t>
      </w:r>
    </w:p>
    <w:p>
      <w:r>
        <w:t>MEC 在本文中指移动边缘控制器。</w:t>
      </w:r>
    </w:p>
    <w:p>
      <w:r>
        <w:t>边沿节点的规格与边缘结点保持一致。</w:t>
      </w:r>
    </w:p>
    <w:p>
      <w:r>
        <w:t>智能助手与 AI 助手在本期均指同一套研发辅助工具。</w:t>
      </w:r>
    </w:p>
    <w:p>
      <w:r>
        <w:t>核心链路端到端时延目标为不超过 500ms。</w:t>
      </w:r>
    </w:p>
    <w:p>
      <w:r>
        <w:t>边缘链路时延不超过 0.5s，核心链路不超过 200ms。</w:t>
      </w:r>
    </w:p>
    <w:p>
      <w:r>
        <w:t>并发连接数下限为 5000，上限为 3000。</w:t>
      </w:r>
    </w:p>
    <w:p>
      <w:r>
        <w:t>本期吞吐量将实现翻倍，由 1000 QPS 提升至 1500 QPS。</w:t>
      </w:r>
    </w:p>
    <w:p>
      <w:r>
        <w:t>一期上线时间定为 2026 年 6 月。</w:t>
      </w:r>
    </w:p>
    <w:p>
      <w:r>
        <w:t>二期于 2026 年 1 月启动，晚于一期上线。</w:t>
      </w:r>
    </w:p>
    <w:p>
      <w:r>
        <w:t>星云平台当前版本为 v2.1。</w:t>
      </w:r>
    </w:p>
    <w:p>
      <w:r>
        <w:t>如图 3-7 所示，系统分为接入层与计算层。</w:t>
      </w:r>
    </w:p>
    <w:p>
      <w:r>
        <w:t>多租户隔离已完成建设并投入使用。</w:t>
      </w:r>
    </w:p>
    <w:p>
      <w:r>
        <w:t>灰度发布为可选步骤，团队可自行决定是否执行。</w:t>
      </w:r>
    </w:p>
    <w:p>
      <w:r>
        <w:t>数据出域申请由安全合规组审批。</w:t>
      </w:r>
    </w:p>
    <w:p>
      <w:r>
        <w:t>服务架构采用单体架构以降低运维复杂度。</w:t>
      </w:r>
    </w:p>
    <w:p>
      <w:r>
        <w:t>本节结论：数据层已全面完成建设。</w:t>
      </w:r>
    </w:p>
    <w:p>
      <w:r>
        <w:t>本期指标目标为 200ms，实测值为 1200ms。</w:t>
      </w:r>
    </w:p>
    <w:p>
      <w:pPr>
        <w:pStyle w:val="Heading2"/>
      </w:pPr>
      <w:r>
        <w:t>2.1 存储选型</w:t>
      </w:r>
    </w:p>
    <w:p>
      <w:r>
        <w:t>数据层存储选型仍在评估中，尚未完成。</w:t>
      </w:r>
    </w:p>
    <w:p>
      <w:pPr>
        <w:pStyle w:val="Heading4"/>
      </w:pPr>
      <w:r>
        <w:t>2.1.1.1 冷热分层</w:t>
      </w:r>
    </w:p>
    <w:p>
      <w:pPr>
        <w:pStyle w:val="Heading1"/>
      </w:pPr>
      <w:r>
        <w:t>3 风险分析</w:t>
      </w:r>
    </w:p>
    <w:p>
      <w:r>
        <w:t>本章从三个方面分析风险：技术风险、进度风险、成本风险、合规风险。</w:t>
      </w:r>
    </w:p>
    <w:p>
      <w:r>
        <w:t>综上所述，上述两点已充分说明本方案的可行性。</w:t>
      </w:r>
    </w:p>
    <w:p>
      <w:pPr>
        <w:pStyle w:val="Heading1"/>
      </w:pPr>
      <w:r>
        <w:t>4 附图附表</w:t>
      </w:r>
    </w:p>
    <w:p>
      <w:r>
        <w:t>图 3-7 系统总体架构图</w:t>
      </w:r>
    </w:p>
    <w:p>
      <w:r>
        <w:t>图 3-9 数据流向图</w:t>
      </w:r>
    </w:p>
    <w:p>
      <w:r>
        <w:t>表 4-1 分年度预算安排表</w:t>
      </w:r>
    </w:p>
    <w:p>
      <w:r>
        <w:t>本平台采用边沿节点作为统一称谓。</w:t>
      </w:r>
    </w:p>
    <w:p>
      <w:r>
        <w:t>边缘结点的部署密度由容量模型确定。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" w:hAnsi="仿宋" w:eastAsia="仿宋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