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某单位信息化建设三年规划（2026—2028）</w:t>
      </w:r>
    </w:p>
    <w:p>
      <w:pPr>
        <w:pStyle w:val="Heading1"/>
      </w:pPr>
      <w:r>
        <w:t>一、建设目标</w:t>
      </w:r>
    </w:p>
    <w:p>
      <w:r>
        <w:t>为实现目标 O1（研发效率提升 30%），本期开展举措 I1：建设统一代码平台。</w:t>
      </w:r>
    </w:p>
    <w:p>
      <w:r>
        <w:t>为实现目标 O2（运维成本下降 20%），本期开展举措 I2：建设统一监控平台。</w:t>
      </w:r>
    </w:p>
    <w:p>
      <w:r>
        <w:t>目标 O3：实现全域数据资产可见可管。</w:t>
      </w:r>
    </w:p>
    <w:p>
      <w:pPr>
        <w:pStyle w:val="Heading1"/>
      </w:pPr>
      <w:r>
        <w:t>二、预算安排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2026 年</w:t>
            </w:r>
          </w:p>
        </w:tc>
        <w:tc>
          <w:tcPr>
            <w:tcW w:type="dxa" w:w="2160"/>
          </w:tcPr>
          <w:p>
            <w:r>
              <w:t>2027 年</w:t>
            </w:r>
          </w:p>
        </w:tc>
        <w:tc>
          <w:tcPr>
            <w:tcW w:type="dxa" w:w="2160"/>
          </w:tcPr>
          <w:p>
            <w:r>
              <w:t>2028 年</w:t>
            </w:r>
          </w:p>
        </w:tc>
      </w:tr>
      <w:tr>
        <w:tc>
          <w:tcPr>
            <w:tcW w:type="dxa" w:w="2160"/>
          </w:tcPr>
          <w:p>
            <w:r>
              <w:t>基础设施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平台研发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1100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  <w:tr>
        <w:tc>
          <w:tcPr>
            <w:tcW w:type="dxa" w:w="2160"/>
          </w:tcPr>
          <w:p>
            <w:r>
              <w:t>运营支撑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2400</w:t>
            </w:r>
          </w:p>
        </w:tc>
        <w:tc>
          <w:tcPr>
            <w:tcW w:type="dxa" w:w="2160"/>
          </w:tcPr>
          <w:p>
            <w:r>
              <w:t>2300</w:t>
            </w:r>
          </w:p>
        </w:tc>
        <w:tc>
          <w:tcPr>
            <w:tcW w:type="dxa" w:w="2160"/>
          </w:tcPr>
          <w:p>
            <w:r>
              <w:t>1800</w:t>
            </w:r>
          </w:p>
        </w:tc>
      </w:tr>
    </w:tbl>
    <w:p>
      <w:r>
        <w:t>表 2-1 分年度预算安排表（单位：万元）</w:t>
      </w:r>
    </w:p>
    <w:p>
      <w:r>
        <w:t>三年总投入 6500 万元，其中 2026 年投入 2400 万元。</w:t>
      </w:r>
    </w:p>
    <w:p>
      <w:pPr>
        <w:pStyle w:val="Heading1"/>
      </w:pPr>
      <w:r>
        <w:t>三、关键指标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基线</w:t>
            </w:r>
          </w:p>
        </w:tc>
        <w:tc>
          <w:tcPr>
            <w:tcW w:type="dxa" w:w="2160"/>
          </w:tcPr>
          <w:p>
            <w:r>
              <w:t>目标值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</w:tr>
      <w:tr>
        <w:tc>
          <w:tcPr>
            <w:tcW w:type="dxa" w:w="2160"/>
          </w:tcPr>
          <w:p>
            <w:r>
              <w:t>端到端时延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ms</w:t>
            </w:r>
          </w:p>
        </w:tc>
      </w:tr>
      <w:tr>
        <w:tc>
          <w:tcPr>
            <w:tcW w:type="dxa" w:w="2160"/>
          </w:tcPr>
          <w:p>
            <w:r>
              <w:t>平台接入率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变更失败率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平均恢复时长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</w:tbl>
    <w:p>
      <w:r>
        <w:t>表 3-1 关键指标目标表</w:t>
      </w:r>
    </w:p>
    <w:p>
      <w:r>
        <w:t>验收标准：I1 的平台接入率不低于 80%。</w:t>
      </w:r>
    </w:p>
    <w:p>
      <w:pPr>
        <w:pStyle w:val="Heading1"/>
      </w:pPr>
      <w:r>
        <w:t>四、里程碑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启动时间</w:t>
            </w:r>
          </w:p>
        </w:tc>
        <w:tc>
          <w:tcPr>
            <w:tcW w:type="dxa" w:w="2880"/>
          </w:tcPr>
          <w:p>
            <w:r>
              <w:t>完成时间</w:t>
            </w:r>
          </w:p>
        </w:tc>
      </w:tr>
      <w:tr>
        <w:tc>
          <w:tcPr>
            <w:tcW w:type="dxa" w:w="2880"/>
          </w:tcPr>
          <w:p>
            <w:r>
              <w:t>一期</w:t>
            </w:r>
          </w:p>
        </w:tc>
        <w:tc>
          <w:tcPr>
            <w:tcW w:type="dxa" w:w="2880"/>
          </w:tcPr>
          <w:p>
            <w:r>
              <w:t>2026-01</w:t>
            </w:r>
          </w:p>
        </w:tc>
        <w:tc>
          <w:tcPr>
            <w:tcW w:type="dxa" w:w="2880"/>
          </w:tcPr>
          <w:p>
            <w:r>
              <w:t>2026-03</w:t>
            </w:r>
          </w:p>
        </w:tc>
      </w:tr>
      <w:tr>
        <w:tc>
          <w:tcPr>
            <w:tcW w:type="dxa" w:w="2880"/>
          </w:tcPr>
          <w:p>
            <w:r>
              <w:t>二期</w:t>
            </w:r>
          </w:p>
        </w:tc>
        <w:tc>
          <w:tcPr>
            <w:tcW w:type="dxa" w:w="2880"/>
          </w:tcPr>
          <w:p>
            <w:r>
              <w:t>2026-04</w:t>
            </w:r>
          </w:p>
        </w:tc>
        <w:tc>
          <w:tcPr>
            <w:tcW w:type="dxa" w:w="2880"/>
          </w:tcPr>
          <w:p>
            <w:r>
              <w:t>2026-09</w:t>
            </w:r>
          </w:p>
        </w:tc>
      </w:tr>
      <w:tr>
        <w:tc>
          <w:tcPr>
            <w:tcW w:type="dxa" w:w="2880"/>
          </w:tcPr>
          <w:p>
            <w:r>
              <w:t>三期</w:t>
            </w:r>
          </w:p>
        </w:tc>
        <w:tc>
          <w:tcPr>
            <w:tcW w:type="dxa" w:w="2880"/>
          </w:tcPr>
          <w:p>
            <w:r>
              <w:t>2027-01</w:t>
            </w:r>
          </w:p>
        </w:tc>
        <w:tc>
          <w:tcPr>
            <w:tcW w:type="dxa" w:w="2880"/>
          </w:tcPr>
          <w:p>
            <w:r>
              <w:t>2027-06</w:t>
            </w:r>
          </w:p>
        </w:tc>
      </w:tr>
    </w:tbl>
    <w:p>
      <w:r>
        <w:t>表 4-1 里程碑计划表</w:t>
      </w:r>
    </w:p>
    <w:p>
      <w:r>
        <w:t>平台可用性不低于 99.95%，端到端时延不超过 200ms。</w:t>
      </w:r>
    </w:p>
    <w:p>
      <w:pPr>
        <w:pStyle w:val="Heading1"/>
      </w:pPr>
      <w:r>
        <w:t>五、风险分析</w:t>
      </w:r>
    </w:p>
    <w:p>
      <w:r>
        <w:t>本章说明主要风险及应对措施。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