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一、系统概述</w:t>
      </w:r>
    </w:p>
    <w:p>
      <w:r>
        <w:t>系统布署完成后，需通过帐号登录管理后台并完成初始化配置。</w:t>
      </w:r>
    </w:p>
    <w:p>
      <w:r>
        <w:t>响应时间的阀值设定为 200 毫秒，超出后触发告警。</w:t>
      </w:r>
    </w:p>
    <w:p>
      <w:r>
        <w:t>客户端与服务端之间通过秘钥协商建立加密通道。</w:t>
      </w:r>
    </w:p>
    <w:p>
      <w:r>
        <w:t>本期工做已按计划完成，各模块进入联调阶段。</w:t>
      </w:r>
    </w:p>
    <w:p>
      <w:r>
        <w:t>截止目前，已完成三个一级模块的开发与自测。</w:t>
      </w:r>
    </w:p>
    <w:p>
      <w:r>
        <w:t>双方签定合同后十五个工作日内启动实施。</w:t>
      </w:r>
    </w:p>
    <w:p>
      <w:r>
        <w:t>运维团队每季度组织一次容灾演炼，覆盖全部核心链路。</w:t>
      </w:r>
    </w:p>
    <w:p>
      <w:r>
        <w:t>综上所诉，本方案在成本与工期上均可满足要求。</w:t>
      </w:r>
    </w:p>
    <w:p>
      <w:r>
        <w:t>现场保障人员在野外搭起帐篷，作为临时值守点。</w:t>
      </w:r>
    </w:p>
    <w:p>
      <w:r>
        <w:t>本规划以经济效益与社会效益并重为原则。</w:t>
      </w:r>
    </w:p>
    <w:p>
      <w:r>
        <w:t>每个子节点独立承担一部分计算任务。</w:t>
      </w:r>
    </w:p>
    <w:p>
      <w:r>
        <w:t>登陆作战演练不在本系统的支撑范围内。</w:t>
      </w:r>
    </w:p>
    <w:p>
      <w:pPr>
        <w:pStyle w:val="Heading1"/>
      </w:pPr>
      <w:r>
        <w:t>二、风险分析</w:t>
      </w:r>
    </w:p>
    <w:p>
      <w:r>
        <w:t>风险1：第三方结算接口稳定性不足。若可用性低于 99%，将导致日终对账延迟一个工作日；拟增加本地缓存与失败重试，并保留人工对账通道，由集成组负责跟进。</w:t>
      </w:r>
    </w:p>
    <w:p>
      <w:r>
        <w:t>风险2：核心开发人员集中在两人，存在单点依赖，需要重点关注。</w:t>
      </w:r>
    </w:p>
    <w:p>
      <w:r>
        <w:t>本章分析项目实施过程中面临的主要风险与应对思路。</w:t>
      </w:r>
    </w:p>
    <w:p>
      <w:pPr>
        <w:pStyle w:val="Heading1"/>
      </w:pPr>
      <w:r>
        <w:t>三、接口设计</w:t>
      </w:r>
    </w:p>
    <w:p>
      <w:r>
        <w:t>接口：订单查询。入参为订单号（必填）与租户 ID（必填）；出参返回订单主体、状态与最后更新时间；订单不存在时返回 40401。</w:t>
      </w:r>
    </w:p>
    <w:p>
      <w:r>
        <w:t>接口：订单创建。根据购物车内容生成订单记录。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