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负样本集：以下全部为合法表达，任何上报均计为误报</w:t>
      </w:r>
    </w:p>
    <w:p>
      <w:r>
        <w:t>本期采用统一的接入方式，各业务线使用相同的鉴权协议。</w:t>
      </w:r>
    </w:p>
    <w:p>
      <w:r>
        <w:t>我们运用成熟的开源组件构建底座，避免重复造轮子。</w:t>
      </w:r>
    </w:p>
    <w:p>
      <w:r>
        <w:t>在本次评审中，我们对方案做了充分的论证。</w:t>
      </w:r>
    </w:p>
    <w:p>
      <w:r>
        <w:t>为保障稳定性，灰度期间我们逐步放量。</w:t>
      </w:r>
    </w:p>
    <w:p>
      <w:r>
        <w:t>逐步放量的策略，在灰度期间我们始终坚持。</w:t>
      </w:r>
    </w:p>
    <w:p>
      <w:r>
        <w:t>数据出域申请由数据 owner 审批。</w:t>
      </w:r>
    </w:p>
    <w:p>
      <w:r>
        <w:t>由数据 owner 对数据出域申请进行审批。</w:t>
      </w:r>
    </w:p>
    <w:p>
      <w:r>
        <w:t>这事儿得先跟业务方对齐口径。</w:t>
      </w:r>
    </w:p>
    <w:p>
      <w:r>
        <w:t>此事需先与业务方对齐口径。</w:t>
      </w:r>
    </w:p>
    <w:p>
      <w:r>
        <w:t>平台上线。</w:t>
      </w:r>
    </w:p>
    <w:p>
      <w:r>
        <w:t>平台已于本月完成全量上线，并通过了全部验收用例。</w:t>
      </w:r>
    </w:p>
    <w:p>
      <w:r>
        <w:t>方案已通过评审了。</w:t>
      </w:r>
    </w:p>
    <w:p>
      <w:r>
        <w:t>方案已通过评审。</w:t>
      </w:r>
    </w:p>
    <w:p>
      <w:r>
        <w:t>边缘节点（edge node）在本文中简称 EN。</w:t>
      </w:r>
    </w:p>
    <w:p>
      <w:r>
        <w:t>星云平台又称 Nebula，二者指同一系统。</w:t>
      </w:r>
    </w:p>
    <w:p>
      <w:r>
        <w:t>本期 P0 需求共 12 项，P1 需求 27 项。</w:t>
      </w:r>
    </w:p>
    <w:p>
      <w:r>
        <w:t>SRE 团队负责线上稳定性，QA 团队负责质量准入。</w:t>
      </w:r>
    </w:p>
    <w:p>
      <w:r>
        <w:t>执行 kubectl get pods -n prod 查看运行状态。</w:t>
      </w:r>
    </w:p>
    <w:p>
      <w:r>
        <w:t>配置项 max_retry=3 表示最多重试三次。</w:t>
      </w:r>
    </w:p>
    <w:p>
      <w:r>
        <w:t>《网络安全法》第二十一条规定：国家实行网络安全等级保护制度。</w:t>
      </w:r>
    </w:p>
    <w:p>
      <w:r>
        <w:t>合同第 3.2 条约定：乙方应于验收合格之日起十五个工作日内交付。</w:t>
      </w:r>
    </w:p>
    <w:p>
      <w:r>
        <w:t>上表中「—」表示该季度无预算安排。</w:t>
      </w:r>
    </w:p>
    <w:p>
      <w:r>
        <w:t>表头「时延/ms」为端到端时延，单位毫秒。</w:t>
      </w:r>
    </w:p>
    <w:p>
      <w:r>
        <w:t>图 3-7 系统总体架构图</w:t>
      </w:r>
    </w:p>
    <w:p>
      <w:r>
        <w:t>表 4-2 分年度预算安排表（单位：万元）</w:t>
      </w:r>
    </w:p>
    <w:p>
      <w:r>
        <w:t>本期共完成 3 个一级模块与十二项子任务。</w:t>
      </w:r>
    </w:p>
    <w:p>
      <w:r>
        <w:t>第一阶段于 2026 年 3 月启动，二期于同年 9 月启动。</w:t>
      </w:r>
    </w:p>
    <w:p>
      <w:r>
        <w:t>三、风险分析与应对</w:t>
      </w:r>
    </w:p>
    <w:p>
      <w:r>
        <w:t>4.2 数据层存储选型</w:t>
      </w:r>
    </w:p>
    <w:p>
      <w:r>
        <w:t>附录 A 接口清单</w:t>
      </w:r>
    </w:p>
    <w:p>
      <w:r>
        <w:t>本方案在保证一致性的前提下，兼顾了可用性与分区容错。</w:t>
      </w:r>
    </w:p>
    <w:p>
      <w:r>
        <w:t>研发效能度量以交付周期、变更失败率、恢复时长三项为主。</w:t>
      </w:r>
    </w:p>
    <w:p>
      <w:r>
        <w:t>详见 https://example.internal/docs/nebula/api 中的接口说明。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