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13176" w:type="dxa"/>
        <w:tblLayout w:type="fixed"/>
        <w:tblLook w:val="07E0" w:firstRow="1" w:lastRow="1" w:firstColumn="1" w:lastColumn="1" w:noHBand="1" w:noVBand="1"/>
      </w:tblPr>
      <w:tblGrid>
        <w:gridCol w:w="3078"/>
        <w:gridCol w:w="3420"/>
        <w:gridCol w:w="2700"/>
        <w:gridCol w:w="1170"/>
        <w:gridCol w:w="2808"/>
      </w:tblGrid>
      <w:tr w:rsidR="00FC5952" w:rsidRPr="00563DE7" w14:paraId="3876DD31" w14:textId="77777777" w:rsidTr="000417B7">
        <w:tc>
          <w:tcPr>
            <w:tcW w:w="3078" w:type="dxa"/>
          </w:tcPr>
          <w:p w14:paraId="3B16C739" w14:textId="0B3EAA15" w:rsidR="00FC5952" w:rsidRPr="00563DE7" w:rsidRDefault="00FC5952" w:rsidP="00E121D2">
            <w:pPr>
              <w:pStyle w:val="Compact"/>
              <w:spacing w:before="0" w:after="0" w:line="276" w:lineRule="auto"/>
              <w:contextualSpacing/>
              <w:rPr>
                <w:sz w:val="20"/>
                <w:szCs w:val="20"/>
              </w:rPr>
            </w:pPr>
            <w:r w:rsidRPr="00563DE7">
              <w:rPr>
                <w:sz w:val="20"/>
                <w:szCs w:val="20"/>
              </w:rPr>
              <w:t>U.S. crude oil prices</w:t>
            </w:r>
          </w:p>
        </w:tc>
        <w:tc>
          <w:tcPr>
            <w:tcW w:w="3420" w:type="dxa"/>
          </w:tcPr>
          <w:p w14:paraId="4B95562A" w14:textId="7B61EB1C" w:rsidR="00FC5952" w:rsidRPr="00563DE7" w:rsidRDefault="00FC5952" w:rsidP="00E121D2">
            <w:pPr>
              <w:pStyle w:val="Compact"/>
              <w:spacing w:before="0" w:after="0" w:line="276" w:lineRule="auto"/>
              <w:contextualSpacing/>
              <w:rPr>
                <w:sz w:val="20"/>
                <w:szCs w:val="20"/>
              </w:rPr>
            </w:pPr>
            <w:r w:rsidRPr="00563DE7">
              <w:rPr>
                <w:sz w:val="20"/>
                <w:szCs w:val="20"/>
              </w:rPr>
              <w:t>data_2024.dta</w:t>
            </w:r>
          </w:p>
        </w:tc>
        <w:tc>
          <w:tcPr>
            <w:tcW w:w="2700" w:type="dxa"/>
          </w:tcPr>
          <w:p w14:paraId="3B175B01" w14:textId="5DFF2EE4" w:rsidR="00FC5952" w:rsidRPr="00563DE7" w:rsidRDefault="00FC5952"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0A0B15BA" w14:textId="77777777" w:rsidR="00FC5952" w:rsidRPr="00563DE7" w:rsidRDefault="00FC5952" w:rsidP="00E121D2">
            <w:pPr>
              <w:pStyle w:val="Compact"/>
              <w:spacing w:before="0" w:after="0" w:line="276" w:lineRule="auto"/>
              <w:contextualSpacing/>
              <w:rPr>
                <w:sz w:val="20"/>
                <w:szCs w:val="20"/>
              </w:rPr>
            </w:pPr>
            <w:r w:rsidRPr="00563DE7">
              <w:rPr>
                <w:sz w:val="20"/>
                <w:szCs w:val="20"/>
              </w:rPr>
              <w:t>TRUE</w:t>
            </w:r>
          </w:p>
        </w:tc>
        <w:tc>
          <w:tcPr>
            <w:tcW w:w="2808" w:type="dxa"/>
          </w:tcPr>
          <w:p w14:paraId="0CE6A9BF" w14:textId="7BAD3493" w:rsidR="00FC5952" w:rsidRDefault="00FC5952" w:rsidP="00E121D2">
            <w:pPr>
              <w:pStyle w:val="Compact"/>
              <w:spacing w:before="0" w:after="0" w:line="276" w:lineRule="auto"/>
              <w:contextualSpacing/>
              <w:rPr>
                <w:sz w:val="20"/>
                <w:szCs w:val="20"/>
                <w:lang w:eastAsia="zh-CN"/>
              </w:rPr>
            </w:pPr>
            <w:r w:rsidRPr="00FC5952">
              <w:rPr>
                <w:sz w:val="20"/>
                <w:szCs w:val="20"/>
              </w:rPr>
              <w:t>Spot Crude Oil Price: West Texas Intermediate (WTI), Dollars per Barrel, Monthly, Not Seasonally Adjusted</w:t>
            </w:r>
            <w:r w:rsidR="007B41FA">
              <w:rPr>
                <w:rFonts w:hint="eastAsia"/>
                <w:sz w:val="20"/>
                <w:szCs w:val="20"/>
                <w:lang w:eastAsia="zh-CN"/>
              </w:rPr>
              <w:t>,</w:t>
            </w:r>
          </w:p>
          <w:p w14:paraId="4E31206A" w14:textId="42008FDE" w:rsidR="007B41FA" w:rsidRDefault="007B41FA" w:rsidP="00E121D2">
            <w:pPr>
              <w:pStyle w:val="Compact"/>
              <w:spacing w:before="0" w:after="0" w:line="276" w:lineRule="auto"/>
              <w:contextualSpacing/>
              <w:rPr>
                <w:sz w:val="20"/>
                <w:szCs w:val="20"/>
                <w:lang w:eastAsia="zh-CN"/>
              </w:rPr>
            </w:pPr>
            <w:r>
              <w:rPr>
                <w:rFonts w:hint="eastAsia"/>
                <w:sz w:val="20"/>
                <w:szCs w:val="20"/>
                <w:lang w:eastAsia="zh-CN"/>
              </w:rPr>
              <w:t xml:space="preserve">Federal Reserve Bank of St. Louis and EIA </w:t>
            </w:r>
          </w:p>
          <w:p w14:paraId="74264E53" w14:textId="3887829E" w:rsidR="00FC5952" w:rsidRDefault="00FC5952" w:rsidP="00E121D2">
            <w:pPr>
              <w:pStyle w:val="Compact"/>
              <w:spacing w:before="0" w:after="0" w:line="276" w:lineRule="auto"/>
              <w:contextualSpacing/>
              <w:rPr>
                <w:sz w:val="20"/>
                <w:szCs w:val="20"/>
              </w:rPr>
            </w:pPr>
            <w:hyperlink r:id="rId7" w:history="1">
              <w:r w:rsidRPr="005500BB">
                <w:rPr>
                  <w:rStyle w:val="Hyperlink"/>
                  <w:sz w:val="20"/>
                  <w:szCs w:val="20"/>
                </w:rPr>
                <w:t>https://fred.stlouisfed.org/series/WTISPLC</w:t>
              </w:r>
            </w:hyperlink>
          </w:p>
          <w:p w14:paraId="664D244F" w14:textId="0AE84253" w:rsidR="00FC5952" w:rsidRPr="00563DE7" w:rsidRDefault="00FC5952" w:rsidP="00E121D2">
            <w:pPr>
              <w:pStyle w:val="Compact"/>
              <w:spacing w:before="0" w:after="0" w:line="276" w:lineRule="auto"/>
              <w:contextualSpacing/>
              <w:rPr>
                <w:sz w:val="20"/>
                <w:szCs w:val="20"/>
              </w:rPr>
            </w:pPr>
            <w:r>
              <w:rPr>
                <w:sz w:val="20"/>
                <w:szCs w:val="20"/>
              </w:rPr>
              <w:t>(</w:t>
            </w:r>
            <w:r w:rsidR="007B41FA">
              <w:rPr>
                <w:rFonts w:hint="eastAsia"/>
                <w:sz w:val="20"/>
                <w:szCs w:val="20"/>
                <w:lang w:eastAsia="zh-CN"/>
              </w:rPr>
              <w:t xml:space="preserve">accessed on </w:t>
            </w:r>
            <w:r w:rsidRPr="00E673F5">
              <w:rPr>
                <w:rFonts w:hint="eastAsia"/>
                <w:sz w:val="20"/>
                <w:szCs w:val="20"/>
                <w:lang w:eastAsia="zh-CN"/>
              </w:rPr>
              <w:t>04/</w:t>
            </w:r>
            <w:r w:rsidR="000417B7">
              <w:rPr>
                <w:rFonts w:hint="eastAsia"/>
                <w:sz w:val="20"/>
                <w:szCs w:val="20"/>
                <w:lang w:eastAsia="zh-CN"/>
              </w:rPr>
              <w:t>06</w:t>
            </w:r>
            <w:r w:rsidRPr="00E673F5">
              <w:rPr>
                <w:rFonts w:hint="eastAsia"/>
                <w:sz w:val="20"/>
                <w:szCs w:val="20"/>
                <w:lang w:eastAsia="zh-CN"/>
              </w:rPr>
              <w:t>/2022</w:t>
            </w:r>
            <w:r>
              <w:rPr>
                <w:sz w:val="20"/>
                <w:szCs w:val="20"/>
              </w:rPr>
              <w:t>)</w:t>
            </w:r>
          </w:p>
        </w:tc>
      </w:tr>
      <w:tr w:rsidR="000417B7" w:rsidRPr="00E673F5" w14:paraId="70794C89" w14:textId="77777777" w:rsidTr="000417B7">
        <w:tc>
          <w:tcPr>
            <w:tcW w:w="3078" w:type="dxa"/>
          </w:tcPr>
          <w:p w14:paraId="43106942" w14:textId="4164C301" w:rsidR="000417B7" w:rsidRPr="00563DE7" w:rsidRDefault="000417B7" w:rsidP="00E121D2">
            <w:pPr>
              <w:pStyle w:val="Compact"/>
              <w:spacing w:before="0" w:after="0" w:line="276" w:lineRule="auto"/>
              <w:contextualSpacing/>
              <w:rPr>
                <w:sz w:val="20"/>
                <w:szCs w:val="20"/>
              </w:rPr>
            </w:pPr>
            <w:r w:rsidRPr="00563DE7">
              <w:rPr>
                <w:sz w:val="20"/>
                <w:szCs w:val="20"/>
              </w:rPr>
              <w:t>S&amp;P 500 index</w:t>
            </w:r>
          </w:p>
        </w:tc>
        <w:tc>
          <w:tcPr>
            <w:tcW w:w="3420" w:type="dxa"/>
          </w:tcPr>
          <w:p w14:paraId="67A2D540" w14:textId="1F73F251"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6CDBF501" w14:textId="7E895A1E"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4D5311C3" w14:textId="717579D8"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365388CA" w14:textId="3EC6E53C" w:rsidR="00694D2E" w:rsidRDefault="000417B7" w:rsidP="00E121D2">
            <w:pPr>
              <w:pStyle w:val="Compact"/>
              <w:spacing w:before="0" w:after="0" w:line="276" w:lineRule="auto"/>
              <w:contextualSpacing/>
              <w:rPr>
                <w:sz w:val="20"/>
                <w:szCs w:val="20"/>
                <w:lang w:eastAsia="zh-CN"/>
              </w:rPr>
            </w:pPr>
            <w:r w:rsidRPr="00E673F5">
              <w:rPr>
                <w:sz w:val="20"/>
                <w:szCs w:val="20"/>
              </w:rPr>
              <w:t xml:space="preserve">S&amp;P </w:t>
            </w:r>
            <w:r w:rsidR="007B41FA">
              <w:rPr>
                <w:rFonts w:hint="eastAsia"/>
                <w:sz w:val="20"/>
                <w:szCs w:val="20"/>
                <w:lang w:eastAsia="zh-CN"/>
              </w:rPr>
              <w:t>500 Index</w:t>
            </w:r>
            <w:r w:rsidR="00694D2E">
              <w:rPr>
                <w:rFonts w:hint="eastAsia"/>
                <w:sz w:val="20"/>
                <w:szCs w:val="20"/>
                <w:lang w:eastAsia="zh-CN"/>
              </w:rPr>
              <w:t>, Monthly, Close Price</w:t>
            </w:r>
            <w:r w:rsidR="007B41FA">
              <w:rPr>
                <w:rFonts w:hint="eastAsia"/>
                <w:sz w:val="20"/>
                <w:szCs w:val="20"/>
                <w:lang w:eastAsia="zh-CN"/>
              </w:rPr>
              <w:t>,</w:t>
            </w:r>
          </w:p>
          <w:p w14:paraId="55FD5E6A" w14:textId="741BE15F" w:rsidR="007B41FA" w:rsidRDefault="007B41FA" w:rsidP="00E121D2">
            <w:pPr>
              <w:pStyle w:val="Compact"/>
              <w:spacing w:before="0" w:after="0" w:line="276" w:lineRule="auto"/>
              <w:contextualSpacing/>
              <w:rPr>
                <w:sz w:val="20"/>
                <w:szCs w:val="20"/>
                <w:lang w:eastAsia="zh-CN"/>
              </w:rPr>
            </w:pPr>
            <w:r w:rsidRPr="00E673F5">
              <w:rPr>
                <w:sz w:val="20"/>
                <w:szCs w:val="20"/>
              </w:rPr>
              <w:t xml:space="preserve">S&amp;P </w:t>
            </w:r>
            <w:r>
              <w:rPr>
                <w:rFonts w:hint="eastAsia"/>
                <w:sz w:val="20"/>
                <w:szCs w:val="20"/>
                <w:lang w:eastAsia="zh-CN"/>
              </w:rPr>
              <w:t xml:space="preserve">500 Index </w:t>
            </w:r>
            <w:r w:rsidRPr="00E673F5">
              <w:rPr>
                <w:sz w:val="20"/>
                <w:szCs w:val="20"/>
              </w:rPr>
              <w:t>Dow Jones Indices LLC</w:t>
            </w:r>
          </w:p>
          <w:p w14:paraId="6475577D" w14:textId="4C5A3E10" w:rsidR="00694D2E" w:rsidRDefault="00694D2E" w:rsidP="00E121D2">
            <w:pPr>
              <w:pStyle w:val="Compact"/>
              <w:spacing w:before="0" w:after="0" w:line="276" w:lineRule="auto"/>
              <w:contextualSpacing/>
              <w:rPr>
                <w:sz w:val="20"/>
                <w:szCs w:val="20"/>
              </w:rPr>
            </w:pPr>
            <w:hyperlink r:id="rId8" w:history="1">
              <w:r w:rsidRPr="005500BB">
                <w:rPr>
                  <w:rStyle w:val="Hyperlink"/>
                  <w:sz w:val="20"/>
                  <w:szCs w:val="20"/>
                </w:rPr>
                <w:t>https://finance.yahoo.com/quote/%5EGSPC/history/?frequency=1mo&amp;period1=347155200&amp;period2=1640908800</w:t>
              </w:r>
            </w:hyperlink>
          </w:p>
          <w:p w14:paraId="06DD3CFC" w14:textId="4A3380C7" w:rsidR="000417B7" w:rsidRPr="00E673F5" w:rsidRDefault="000417B7" w:rsidP="00E121D2">
            <w:pPr>
              <w:pStyle w:val="Compact"/>
              <w:spacing w:before="0" w:after="0" w:line="276" w:lineRule="auto"/>
              <w:contextualSpacing/>
              <w:rPr>
                <w:sz w:val="20"/>
                <w:szCs w:val="20"/>
              </w:rPr>
            </w:pPr>
            <w:r w:rsidRPr="00E673F5">
              <w:rPr>
                <w:sz w:val="20"/>
                <w:szCs w:val="20"/>
              </w:rPr>
              <w:t>(</w:t>
            </w:r>
            <w:r w:rsidR="007B41FA">
              <w:rPr>
                <w:rFonts w:hint="eastAsia"/>
                <w:sz w:val="20"/>
                <w:szCs w:val="20"/>
                <w:lang w:eastAsia="zh-CN"/>
              </w:rPr>
              <w:t>accessed on</w:t>
            </w:r>
            <w:r w:rsidRPr="00E673F5">
              <w:rPr>
                <w:rFonts w:hint="eastAsia"/>
                <w:sz w:val="20"/>
                <w:szCs w:val="20"/>
                <w:lang w:eastAsia="zh-CN"/>
              </w:rPr>
              <w:t xml:space="preserve"> 04/11/2022</w:t>
            </w:r>
            <w:r w:rsidRPr="00E673F5">
              <w:rPr>
                <w:sz w:val="20"/>
                <w:szCs w:val="20"/>
              </w:rPr>
              <w:t>)</w:t>
            </w:r>
          </w:p>
        </w:tc>
      </w:tr>
      <w:tr w:rsidR="000417B7" w:rsidRPr="00E673F5" w14:paraId="4FBF38C8" w14:textId="77777777" w:rsidTr="000417B7">
        <w:tc>
          <w:tcPr>
            <w:tcW w:w="3078" w:type="dxa"/>
          </w:tcPr>
          <w:p w14:paraId="787A1E6D" w14:textId="1243FC0E" w:rsidR="000417B7" w:rsidRPr="00563DE7" w:rsidRDefault="000417B7" w:rsidP="00E121D2">
            <w:pPr>
              <w:pStyle w:val="Compact"/>
              <w:spacing w:before="0" w:after="0" w:line="276" w:lineRule="auto"/>
              <w:contextualSpacing/>
              <w:rPr>
                <w:sz w:val="20"/>
                <w:szCs w:val="20"/>
              </w:rPr>
            </w:pPr>
            <w:r w:rsidRPr="00563DE7">
              <w:rPr>
                <w:sz w:val="20"/>
                <w:szCs w:val="20"/>
              </w:rPr>
              <w:t>Federal funds effective rate</w:t>
            </w:r>
          </w:p>
        </w:tc>
        <w:tc>
          <w:tcPr>
            <w:tcW w:w="3420" w:type="dxa"/>
          </w:tcPr>
          <w:p w14:paraId="7FEE22C5" w14:textId="30EC1ED1"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6DB8E469" w14:textId="26B3F748"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691F924B" w14:textId="7BD48EA3"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5E11A5D3" w14:textId="6F55161F" w:rsidR="007B41FA" w:rsidRDefault="007B41FA" w:rsidP="00E121D2">
            <w:pPr>
              <w:pStyle w:val="Compact"/>
              <w:spacing w:before="0" w:after="0" w:line="276" w:lineRule="auto"/>
              <w:contextualSpacing/>
              <w:rPr>
                <w:sz w:val="20"/>
                <w:szCs w:val="20"/>
                <w:lang w:eastAsia="zh-CN"/>
              </w:rPr>
            </w:pPr>
            <w:r w:rsidRPr="007B41FA">
              <w:rPr>
                <w:sz w:val="20"/>
                <w:szCs w:val="20"/>
              </w:rPr>
              <w:t>Federal Funds Effective Rate, Percent, Monthly, Not Seasonally Adjusted</w:t>
            </w:r>
            <w:r>
              <w:rPr>
                <w:rFonts w:hint="eastAsia"/>
                <w:sz w:val="20"/>
                <w:szCs w:val="20"/>
                <w:lang w:eastAsia="zh-CN"/>
              </w:rPr>
              <w:t>,</w:t>
            </w:r>
          </w:p>
          <w:p w14:paraId="772E008A" w14:textId="3AD79649" w:rsidR="007B41FA" w:rsidRDefault="007B41FA" w:rsidP="00E121D2">
            <w:pPr>
              <w:pStyle w:val="Compact"/>
              <w:spacing w:before="0" w:after="0" w:line="276" w:lineRule="auto"/>
              <w:contextualSpacing/>
              <w:rPr>
                <w:sz w:val="20"/>
                <w:szCs w:val="20"/>
              </w:rPr>
            </w:pPr>
            <w:r w:rsidRPr="00E673F5">
              <w:rPr>
                <w:sz w:val="20"/>
                <w:szCs w:val="20"/>
              </w:rPr>
              <w:t>Board of Governors of the Federal Reserve System</w:t>
            </w:r>
          </w:p>
          <w:p w14:paraId="2FB19CE7" w14:textId="389983DE" w:rsidR="007B41FA" w:rsidRDefault="007B41FA" w:rsidP="00E121D2">
            <w:pPr>
              <w:pStyle w:val="Compact"/>
              <w:spacing w:before="0" w:after="0" w:line="276" w:lineRule="auto"/>
              <w:contextualSpacing/>
              <w:rPr>
                <w:sz w:val="20"/>
                <w:szCs w:val="20"/>
              </w:rPr>
            </w:pPr>
            <w:hyperlink r:id="rId9" w:history="1">
              <w:r w:rsidRPr="005500BB">
                <w:rPr>
                  <w:rStyle w:val="Hyperlink"/>
                  <w:sz w:val="20"/>
                  <w:szCs w:val="20"/>
                </w:rPr>
                <w:t>https://fred.stlouisfed.org/series/FEDFUNDS</w:t>
              </w:r>
            </w:hyperlink>
          </w:p>
          <w:p w14:paraId="7B3C34B7" w14:textId="2A135855" w:rsidR="000417B7" w:rsidRPr="00E673F5" w:rsidRDefault="000417B7" w:rsidP="00E121D2">
            <w:pPr>
              <w:pStyle w:val="Compact"/>
              <w:spacing w:before="0" w:after="0" w:line="276" w:lineRule="auto"/>
              <w:contextualSpacing/>
              <w:rPr>
                <w:sz w:val="20"/>
                <w:szCs w:val="20"/>
              </w:rPr>
            </w:pPr>
            <w:r w:rsidRPr="00E673F5">
              <w:rPr>
                <w:sz w:val="20"/>
                <w:szCs w:val="20"/>
              </w:rPr>
              <w:t xml:space="preserve"> (</w:t>
            </w:r>
            <w:r w:rsidRPr="00E673F5">
              <w:rPr>
                <w:rFonts w:hint="eastAsia"/>
                <w:sz w:val="20"/>
                <w:szCs w:val="20"/>
                <w:lang w:eastAsia="zh-CN"/>
              </w:rPr>
              <w:t xml:space="preserve">accessed </w:t>
            </w:r>
            <w:r w:rsidR="00692673">
              <w:rPr>
                <w:rFonts w:hint="eastAsia"/>
                <w:sz w:val="20"/>
                <w:szCs w:val="20"/>
                <w:lang w:eastAsia="zh-CN"/>
              </w:rPr>
              <w:t xml:space="preserve">on </w:t>
            </w:r>
            <w:r w:rsidRPr="00E673F5">
              <w:rPr>
                <w:rFonts w:hint="eastAsia"/>
                <w:sz w:val="20"/>
                <w:szCs w:val="20"/>
                <w:lang w:eastAsia="zh-CN"/>
              </w:rPr>
              <w:t>04/11/2022</w:t>
            </w:r>
            <w:r w:rsidRPr="00E673F5">
              <w:rPr>
                <w:sz w:val="20"/>
                <w:szCs w:val="20"/>
              </w:rPr>
              <w:t>)</w:t>
            </w:r>
          </w:p>
        </w:tc>
      </w:tr>
      <w:tr w:rsidR="000417B7" w:rsidRPr="00E673F5" w14:paraId="6DBE0835" w14:textId="77777777" w:rsidTr="000417B7">
        <w:tc>
          <w:tcPr>
            <w:tcW w:w="3078" w:type="dxa"/>
          </w:tcPr>
          <w:p w14:paraId="75F2247F" w14:textId="7464AA2C" w:rsidR="000417B7" w:rsidRPr="00563DE7" w:rsidRDefault="000417B7" w:rsidP="00E121D2">
            <w:pPr>
              <w:pStyle w:val="Compact"/>
              <w:spacing w:before="0" w:after="0" w:line="276" w:lineRule="auto"/>
              <w:contextualSpacing/>
              <w:rPr>
                <w:sz w:val="20"/>
                <w:szCs w:val="20"/>
              </w:rPr>
            </w:pPr>
            <w:r w:rsidRPr="00563DE7">
              <w:rPr>
                <w:sz w:val="20"/>
                <w:szCs w:val="20"/>
              </w:rPr>
              <w:t>CPI</w:t>
            </w:r>
          </w:p>
        </w:tc>
        <w:tc>
          <w:tcPr>
            <w:tcW w:w="3420" w:type="dxa"/>
          </w:tcPr>
          <w:p w14:paraId="656F2627" w14:textId="7CE4A1EA"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7417967C" w14:textId="15F51070"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47F4F79A" w14:textId="716D41C7"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48A746D7" w14:textId="6EBE32F8" w:rsidR="007B41FA" w:rsidRDefault="007B41FA" w:rsidP="00E121D2">
            <w:pPr>
              <w:pStyle w:val="Compact"/>
              <w:spacing w:before="0" w:after="0" w:line="276" w:lineRule="auto"/>
              <w:contextualSpacing/>
              <w:rPr>
                <w:sz w:val="20"/>
                <w:szCs w:val="20"/>
                <w:lang w:eastAsia="zh-CN"/>
              </w:rPr>
            </w:pPr>
            <w:r w:rsidRPr="007B41FA">
              <w:rPr>
                <w:sz w:val="20"/>
                <w:szCs w:val="20"/>
              </w:rPr>
              <w:t>Consumer Price Index for All Urban Consumers: All Items in U.S. City Average, Index 1982-1984=100, Monthly, Seasonally Adjusted</w:t>
            </w:r>
            <w:r>
              <w:rPr>
                <w:rFonts w:hint="eastAsia"/>
                <w:sz w:val="20"/>
                <w:szCs w:val="20"/>
                <w:lang w:eastAsia="zh-CN"/>
              </w:rPr>
              <w:t>,</w:t>
            </w:r>
          </w:p>
          <w:p w14:paraId="1AAD1AB5" w14:textId="7DE64BBF" w:rsidR="007B41FA" w:rsidRDefault="007B41FA" w:rsidP="00E121D2">
            <w:pPr>
              <w:pStyle w:val="Compact"/>
              <w:spacing w:before="0" w:after="0" w:line="276" w:lineRule="auto"/>
              <w:contextualSpacing/>
              <w:rPr>
                <w:sz w:val="20"/>
                <w:szCs w:val="20"/>
                <w:lang w:eastAsia="zh-CN"/>
              </w:rPr>
            </w:pPr>
            <w:r>
              <w:rPr>
                <w:rFonts w:hint="eastAsia"/>
                <w:sz w:val="20"/>
                <w:szCs w:val="20"/>
                <w:lang w:eastAsia="zh-CN"/>
              </w:rPr>
              <w:t xml:space="preserve">U.S. </w:t>
            </w:r>
            <w:r w:rsidRPr="00E673F5">
              <w:rPr>
                <w:sz w:val="20"/>
                <w:szCs w:val="20"/>
              </w:rPr>
              <w:t>Bureau of Labor Statistics</w:t>
            </w:r>
          </w:p>
          <w:p w14:paraId="6D232F37" w14:textId="33C7BFA5" w:rsidR="007B41FA" w:rsidRDefault="007B41FA" w:rsidP="00E121D2">
            <w:pPr>
              <w:pStyle w:val="Compact"/>
              <w:spacing w:before="0" w:after="0" w:line="276" w:lineRule="auto"/>
              <w:contextualSpacing/>
              <w:rPr>
                <w:sz w:val="20"/>
                <w:szCs w:val="20"/>
              </w:rPr>
            </w:pPr>
            <w:hyperlink r:id="rId10" w:history="1">
              <w:r w:rsidRPr="005500BB">
                <w:rPr>
                  <w:rStyle w:val="Hyperlink"/>
                  <w:sz w:val="20"/>
                  <w:szCs w:val="20"/>
                </w:rPr>
                <w:t>https://fred.stlouisfed.org/series/FEDFUNDS</w:t>
              </w:r>
            </w:hyperlink>
          </w:p>
          <w:p w14:paraId="1BCB9FCC" w14:textId="059CE307" w:rsidR="000417B7" w:rsidRPr="00E673F5" w:rsidRDefault="000417B7" w:rsidP="00E121D2">
            <w:pPr>
              <w:pStyle w:val="Compact"/>
              <w:spacing w:before="0" w:after="0" w:line="276" w:lineRule="auto"/>
              <w:contextualSpacing/>
              <w:rPr>
                <w:sz w:val="20"/>
                <w:szCs w:val="20"/>
              </w:rPr>
            </w:pPr>
            <w:r w:rsidRPr="00E673F5">
              <w:rPr>
                <w:sz w:val="20"/>
                <w:szCs w:val="20"/>
              </w:rPr>
              <w:t>(</w:t>
            </w:r>
            <w:r w:rsidRPr="00E673F5">
              <w:rPr>
                <w:rFonts w:hint="eastAsia"/>
                <w:sz w:val="20"/>
                <w:szCs w:val="20"/>
                <w:lang w:eastAsia="zh-CN"/>
              </w:rPr>
              <w:t>accessed 04/11/2022</w:t>
            </w:r>
            <w:r w:rsidRPr="00E673F5">
              <w:rPr>
                <w:sz w:val="20"/>
                <w:szCs w:val="20"/>
              </w:rPr>
              <w:t>)</w:t>
            </w:r>
          </w:p>
        </w:tc>
      </w:tr>
      <w:tr w:rsidR="000417B7" w:rsidRPr="00E673F5" w14:paraId="6785B55C" w14:textId="77777777" w:rsidTr="000417B7">
        <w:tc>
          <w:tcPr>
            <w:tcW w:w="3078" w:type="dxa"/>
          </w:tcPr>
          <w:p w14:paraId="2E4DD4D0" w14:textId="33EC4165" w:rsidR="000417B7" w:rsidRPr="00563DE7" w:rsidRDefault="007B41FA" w:rsidP="00E121D2">
            <w:pPr>
              <w:pStyle w:val="Compact"/>
              <w:spacing w:before="0" w:after="0" w:line="276" w:lineRule="auto"/>
              <w:contextualSpacing/>
              <w:rPr>
                <w:sz w:val="20"/>
                <w:szCs w:val="20"/>
              </w:rPr>
            </w:pPr>
            <w:r>
              <w:rPr>
                <w:rFonts w:hint="eastAsia"/>
                <w:sz w:val="20"/>
                <w:szCs w:val="20"/>
                <w:lang w:eastAsia="zh-CN"/>
              </w:rPr>
              <w:lastRenderedPageBreak/>
              <w:t>I</w:t>
            </w:r>
            <w:r w:rsidR="000417B7" w:rsidRPr="00563DE7">
              <w:rPr>
                <w:sz w:val="20"/>
                <w:szCs w:val="20"/>
              </w:rPr>
              <w:t>ndustrial production</w:t>
            </w:r>
          </w:p>
        </w:tc>
        <w:tc>
          <w:tcPr>
            <w:tcW w:w="3420" w:type="dxa"/>
          </w:tcPr>
          <w:p w14:paraId="7AE9F744" w14:textId="6B48665C"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7CBFE562" w14:textId="3512DB5C"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68CFE034" w14:textId="64D7A17C"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65E4DFD0" w14:textId="77777777" w:rsidR="007B41FA" w:rsidRDefault="007B41FA" w:rsidP="00E121D2">
            <w:pPr>
              <w:pStyle w:val="Compact"/>
              <w:spacing w:before="0" w:after="0" w:line="276" w:lineRule="auto"/>
              <w:contextualSpacing/>
              <w:rPr>
                <w:sz w:val="20"/>
                <w:szCs w:val="20"/>
                <w:lang w:eastAsia="zh-CN"/>
              </w:rPr>
            </w:pPr>
            <w:r w:rsidRPr="007B41FA">
              <w:rPr>
                <w:sz w:val="20"/>
                <w:szCs w:val="20"/>
              </w:rPr>
              <w:t>Industrial Production: Total Index, Index 2017=100, Monthly, Seasonally Adjusted</w:t>
            </w:r>
            <w:r>
              <w:rPr>
                <w:rFonts w:hint="eastAsia"/>
                <w:sz w:val="20"/>
                <w:szCs w:val="20"/>
                <w:lang w:eastAsia="zh-CN"/>
              </w:rPr>
              <w:t>,</w:t>
            </w:r>
          </w:p>
          <w:p w14:paraId="0A6E15CB" w14:textId="186B1777" w:rsidR="007B41FA" w:rsidRDefault="007B41FA" w:rsidP="00E121D2">
            <w:pPr>
              <w:pStyle w:val="Compact"/>
              <w:spacing w:before="0" w:after="0" w:line="276" w:lineRule="auto"/>
              <w:contextualSpacing/>
              <w:rPr>
                <w:sz w:val="20"/>
                <w:szCs w:val="20"/>
              </w:rPr>
            </w:pPr>
            <w:r w:rsidRPr="00E673F5">
              <w:rPr>
                <w:sz w:val="20"/>
                <w:szCs w:val="20"/>
              </w:rPr>
              <w:t>Board of Governors of the Federal Reserve System</w:t>
            </w:r>
            <w:r w:rsidRPr="007B41FA">
              <w:rPr>
                <w:sz w:val="20"/>
                <w:szCs w:val="20"/>
              </w:rPr>
              <w:t xml:space="preserve"> </w:t>
            </w:r>
            <w:hyperlink r:id="rId11" w:history="1">
              <w:r w:rsidRPr="005500BB">
                <w:rPr>
                  <w:rStyle w:val="Hyperlink"/>
                  <w:sz w:val="20"/>
                  <w:szCs w:val="20"/>
                </w:rPr>
                <w:t>https://fred.stlouisfed.org/series/INDPRO</w:t>
              </w:r>
            </w:hyperlink>
          </w:p>
          <w:p w14:paraId="09D9119F" w14:textId="73F82903" w:rsidR="000417B7" w:rsidRPr="00E673F5" w:rsidRDefault="007B41FA" w:rsidP="00E121D2">
            <w:pPr>
              <w:pStyle w:val="Compact"/>
              <w:spacing w:before="0" w:after="0" w:line="276" w:lineRule="auto"/>
              <w:contextualSpacing/>
              <w:rPr>
                <w:sz w:val="20"/>
                <w:szCs w:val="20"/>
              </w:rPr>
            </w:pPr>
            <w:r>
              <w:rPr>
                <w:rFonts w:hint="eastAsia"/>
                <w:sz w:val="20"/>
                <w:szCs w:val="20"/>
                <w:lang w:eastAsia="zh-CN"/>
              </w:rPr>
              <w:t>(</w:t>
            </w:r>
            <w:r w:rsidR="000417B7" w:rsidRPr="00E673F5">
              <w:rPr>
                <w:rFonts w:hint="eastAsia"/>
                <w:sz w:val="20"/>
                <w:szCs w:val="20"/>
                <w:lang w:eastAsia="zh-CN"/>
              </w:rPr>
              <w:t xml:space="preserve">accessed </w:t>
            </w:r>
            <w:r w:rsidR="00692673">
              <w:rPr>
                <w:rFonts w:hint="eastAsia"/>
                <w:sz w:val="20"/>
                <w:szCs w:val="20"/>
                <w:lang w:eastAsia="zh-CN"/>
              </w:rPr>
              <w:t xml:space="preserve">on </w:t>
            </w:r>
            <w:r w:rsidR="000417B7" w:rsidRPr="00E673F5">
              <w:rPr>
                <w:rFonts w:hint="eastAsia"/>
                <w:sz w:val="20"/>
                <w:szCs w:val="20"/>
                <w:lang w:eastAsia="zh-CN"/>
              </w:rPr>
              <w:t>04/11/2022</w:t>
            </w:r>
            <w:r w:rsidR="000417B7" w:rsidRPr="00E673F5">
              <w:rPr>
                <w:sz w:val="20"/>
                <w:szCs w:val="20"/>
              </w:rPr>
              <w:t>)</w:t>
            </w:r>
          </w:p>
        </w:tc>
      </w:tr>
      <w:tr w:rsidR="000417B7" w:rsidRPr="00E673F5" w14:paraId="4E84BE48" w14:textId="77777777" w:rsidTr="000417B7">
        <w:tc>
          <w:tcPr>
            <w:tcW w:w="3078" w:type="dxa"/>
          </w:tcPr>
          <w:p w14:paraId="0F8B77E5" w14:textId="643454C4" w:rsidR="000417B7" w:rsidRPr="00563DE7" w:rsidRDefault="000417B7" w:rsidP="00E121D2">
            <w:pPr>
              <w:pStyle w:val="Compact"/>
              <w:spacing w:before="0" w:after="0" w:line="276" w:lineRule="auto"/>
              <w:contextualSpacing/>
              <w:rPr>
                <w:sz w:val="20"/>
                <w:szCs w:val="20"/>
              </w:rPr>
            </w:pPr>
            <w:r w:rsidRPr="00563DE7">
              <w:rPr>
                <w:sz w:val="20"/>
                <w:szCs w:val="20"/>
              </w:rPr>
              <w:t>U.S. oil drilling</w:t>
            </w:r>
          </w:p>
        </w:tc>
        <w:tc>
          <w:tcPr>
            <w:tcW w:w="3420" w:type="dxa"/>
          </w:tcPr>
          <w:p w14:paraId="74834E20" w14:textId="57C99E36"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6C591BD5" w14:textId="35DA9C08"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318D9E1C" w14:textId="150A9E03"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4510F396" w14:textId="77777777" w:rsidR="003C02B5" w:rsidRDefault="003C02B5" w:rsidP="00E121D2">
            <w:pPr>
              <w:pStyle w:val="Compact"/>
              <w:spacing w:before="0" w:after="0" w:line="276" w:lineRule="auto"/>
              <w:contextualSpacing/>
              <w:rPr>
                <w:sz w:val="20"/>
                <w:szCs w:val="20"/>
                <w:lang w:eastAsia="zh-CN"/>
              </w:rPr>
            </w:pPr>
            <w:r w:rsidRPr="003C02B5">
              <w:rPr>
                <w:sz w:val="20"/>
                <w:szCs w:val="20"/>
              </w:rPr>
              <w:t>Industrial Production: Mining: Drilling Oil and Gas Wells</w:t>
            </w:r>
            <w:r>
              <w:rPr>
                <w:rFonts w:hint="eastAsia"/>
                <w:sz w:val="20"/>
                <w:szCs w:val="20"/>
                <w:lang w:eastAsia="zh-CN"/>
              </w:rPr>
              <w:t xml:space="preserve">, </w:t>
            </w:r>
            <w:r w:rsidRPr="003C02B5">
              <w:rPr>
                <w:sz w:val="20"/>
                <w:szCs w:val="20"/>
                <w:lang w:eastAsia="zh-CN"/>
              </w:rPr>
              <w:t>Index 2017=100, Seasonally Adjusted</w:t>
            </w:r>
            <w:r>
              <w:rPr>
                <w:rFonts w:hint="eastAsia"/>
                <w:sz w:val="20"/>
                <w:szCs w:val="20"/>
                <w:lang w:eastAsia="zh-CN"/>
              </w:rPr>
              <w:t>,</w:t>
            </w:r>
          </w:p>
          <w:p w14:paraId="4033DC84" w14:textId="47CE267D" w:rsidR="003C02B5" w:rsidRDefault="003C02B5" w:rsidP="00E121D2">
            <w:pPr>
              <w:pStyle w:val="Compact"/>
              <w:spacing w:before="0" w:after="0" w:line="276" w:lineRule="auto"/>
              <w:contextualSpacing/>
              <w:rPr>
                <w:sz w:val="20"/>
                <w:szCs w:val="20"/>
                <w:lang w:eastAsia="zh-CN"/>
              </w:rPr>
            </w:pPr>
            <w:r w:rsidRPr="003C02B5">
              <w:rPr>
                <w:sz w:val="20"/>
                <w:szCs w:val="20"/>
                <w:lang w:eastAsia="zh-CN"/>
              </w:rPr>
              <w:t>Board of Governors of the Federal Reserve System</w:t>
            </w:r>
          </w:p>
          <w:p w14:paraId="7FD6F197" w14:textId="43B5DD53" w:rsidR="008416DF" w:rsidRDefault="008416DF" w:rsidP="00E121D2">
            <w:pPr>
              <w:pStyle w:val="Compact"/>
              <w:spacing w:before="0" w:after="0" w:line="276" w:lineRule="auto"/>
              <w:contextualSpacing/>
              <w:rPr>
                <w:sz w:val="20"/>
                <w:szCs w:val="20"/>
                <w:lang w:eastAsia="zh-CN"/>
              </w:rPr>
            </w:pPr>
            <w:hyperlink r:id="rId12" w:history="1">
              <w:r w:rsidRPr="005500BB">
                <w:rPr>
                  <w:rStyle w:val="Hyperlink"/>
                  <w:sz w:val="20"/>
                  <w:szCs w:val="20"/>
                  <w:lang w:eastAsia="zh-CN"/>
                </w:rPr>
                <w:t>https://fred.stlouisfed.org/series/IPN213111S</w:t>
              </w:r>
            </w:hyperlink>
          </w:p>
          <w:p w14:paraId="20F76906" w14:textId="59362233" w:rsidR="000417B7" w:rsidRPr="00E673F5" w:rsidRDefault="000417B7" w:rsidP="00E121D2">
            <w:pPr>
              <w:pStyle w:val="Compact"/>
              <w:spacing w:before="0" w:after="0" w:line="276" w:lineRule="auto"/>
              <w:contextualSpacing/>
              <w:rPr>
                <w:sz w:val="20"/>
                <w:szCs w:val="20"/>
                <w:lang w:eastAsia="zh-CN"/>
              </w:rPr>
            </w:pPr>
            <w:r w:rsidRPr="00E673F5">
              <w:rPr>
                <w:sz w:val="20"/>
                <w:szCs w:val="20"/>
              </w:rPr>
              <w:t>(</w:t>
            </w:r>
            <w:r w:rsidRPr="00E673F5">
              <w:rPr>
                <w:rFonts w:hint="eastAsia"/>
                <w:sz w:val="20"/>
                <w:szCs w:val="20"/>
                <w:lang w:eastAsia="zh-CN"/>
              </w:rPr>
              <w:t xml:space="preserve">accessed </w:t>
            </w:r>
            <w:r w:rsidR="008416DF">
              <w:rPr>
                <w:rFonts w:hint="eastAsia"/>
                <w:sz w:val="20"/>
                <w:szCs w:val="20"/>
                <w:lang w:eastAsia="zh-CN"/>
              </w:rPr>
              <w:t xml:space="preserve">on </w:t>
            </w:r>
            <w:r w:rsidRPr="00E673F5">
              <w:rPr>
                <w:rFonts w:hint="eastAsia"/>
                <w:sz w:val="20"/>
                <w:szCs w:val="20"/>
                <w:lang w:eastAsia="zh-CN"/>
              </w:rPr>
              <w:t>04/06/2022</w:t>
            </w:r>
            <w:r w:rsidR="00CB0D2A">
              <w:rPr>
                <w:rFonts w:hint="eastAsia"/>
                <w:sz w:val="20"/>
                <w:szCs w:val="20"/>
                <w:lang w:eastAsia="zh-CN"/>
              </w:rPr>
              <w:t>)</w:t>
            </w:r>
          </w:p>
        </w:tc>
      </w:tr>
      <w:tr w:rsidR="000417B7" w:rsidRPr="00E673F5" w14:paraId="379265F5" w14:textId="77777777" w:rsidTr="000417B7">
        <w:tc>
          <w:tcPr>
            <w:tcW w:w="3078" w:type="dxa"/>
          </w:tcPr>
          <w:p w14:paraId="5584A559" w14:textId="19500A7C" w:rsidR="000417B7" w:rsidRPr="00563DE7" w:rsidRDefault="000417B7" w:rsidP="00E121D2">
            <w:pPr>
              <w:pStyle w:val="Compact"/>
              <w:spacing w:before="0" w:after="0" w:line="276" w:lineRule="auto"/>
              <w:contextualSpacing/>
              <w:rPr>
                <w:sz w:val="20"/>
                <w:szCs w:val="20"/>
              </w:rPr>
            </w:pPr>
            <w:r w:rsidRPr="00563DE7">
              <w:rPr>
                <w:sz w:val="20"/>
                <w:szCs w:val="20"/>
              </w:rPr>
              <w:t>U.S. oil production</w:t>
            </w:r>
          </w:p>
        </w:tc>
        <w:tc>
          <w:tcPr>
            <w:tcW w:w="3420" w:type="dxa"/>
          </w:tcPr>
          <w:p w14:paraId="5CC83553" w14:textId="6CB6D89B"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07B2A3DF" w14:textId="53EDF6F6"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6B455902" w14:textId="7CA579B5"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10D6A8AF" w14:textId="47D9ECDF" w:rsidR="005F2A9B" w:rsidRDefault="005F2A9B" w:rsidP="00E121D2">
            <w:pPr>
              <w:pStyle w:val="Compact"/>
              <w:spacing w:before="0" w:after="0" w:line="276" w:lineRule="auto"/>
              <w:contextualSpacing/>
              <w:rPr>
                <w:sz w:val="20"/>
                <w:szCs w:val="20"/>
                <w:lang w:eastAsia="zh-CN"/>
              </w:rPr>
            </w:pPr>
            <w:r w:rsidRPr="005F2A9B">
              <w:rPr>
                <w:sz w:val="20"/>
                <w:szCs w:val="20"/>
              </w:rPr>
              <w:t>U.S. Field Production of Crude Oil</w:t>
            </w:r>
            <w:r>
              <w:rPr>
                <w:rFonts w:hint="eastAsia"/>
                <w:sz w:val="20"/>
                <w:szCs w:val="20"/>
                <w:lang w:eastAsia="zh-CN"/>
              </w:rPr>
              <w:t xml:space="preserve">, </w:t>
            </w:r>
            <w:r w:rsidRPr="005F2A9B">
              <w:rPr>
                <w:sz w:val="20"/>
                <w:szCs w:val="20"/>
              </w:rPr>
              <w:t>Thousand Barrels</w:t>
            </w:r>
            <w:r>
              <w:rPr>
                <w:rFonts w:hint="eastAsia"/>
                <w:sz w:val="20"/>
                <w:szCs w:val="20"/>
                <w:lang w:eastAsia="zh-CN"/>
              </w:rPr>
              <w:t>,</w:t>
            </w:r>
          </w:p>
          <w:p w14:paraId="4A6B7FF6" w14:textId="4002C690" w:rsidR="005F2A9B" w:rsidRDefault="00692673" w:rsidP="00E121D2">
            <w:pPr>
              <w:pStyle w:val="Compact"/>
              <w:spacing w:before="0" w:after="0" w:line="276" w:lineRule="auto"/>
              <w:contextualSpacing/>
              <w:rPr>
                <w:sz w:val="20"/>
                <w:szCs w:val="20"/>
              </w:rPr>
            </w:pPr>
            <w:r>
              <w:rPr>
                <w:rFonts w:hint="eastAsia"/>
                <w:sz w:val="20"/>
                <w:szCs w:val="20"/>
                <w:lang w:eastAsia="zh-CN"/>
              </w:rPr>
              <w:t>Energy Information Administration</w:t>
            </w:r>
            <w:r w:rsidR="000417B7" w:rsidRPr="00E673F5">
              <w:rPr>
                <w:sz w:val="20"/>
                <w:szCs w:val="20"/>
              </w:rPr>
              <w:t xml:space="preserve"> </w:t>
            </w:r>
          </w:p>
          <w:p w14:paraId="596D9C12" w14:textId="6ACAAC2C" w:rsidR="005F2A9B" w:rsidRDefault="005F2A9B" w:rsidP="00E121D2">
            <w:pPr>
              <w:pStyle w:val="Compact"/>
              <w:spacing w:before="0" w:after="0" w:line="276" w:lineRule="auto"/>
              <w:contextualSpacing/>
              <w:rPr>
                <w:sz w:val="20"/>
                <w:szCs w:val="20"/>
              </w:rPr>
            </w:pPr>
            <w:hyperlink r:id="rId13" w:history="1">
              <w:r w:rsidRPr="005500BB">
                <w:rPr>
                  <w:rStyle w:val="Hyperlink"/>
                  <w:sz w:val="20"/>
                  <w:szCs w:val="20"/>
                </w:rPr>
                <w:t>https://www.eia.gov/dnav/pet/hist/LeafHandler.ashx?n=PET&amp;s=MCRFPUS1&amp;f=M</w:t>
              </w:r>
            </w:hyperlink>
          </w:p>
          <w:p w14:paraId="5E748801" w14:textId="7B44B6D1"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04/06/2022</w:t>
            </w:r>
            <w:r w:rsidRPr="00E673F5">
              <w:rPr>
                <w:sz w:val="20"/>
                <w:szCs w:val="20"/>
              </w:rPr>
              <w:t>)</w:t>
            </w:r>
          </w:p>
        </w:tc>
      </w:tr>
      <w:tr w:rsidR="000417B7" w:rsidRPr="00E673F5" w14:paraId="345EF0B1" w14:textId="77777777" w:rsidTr="000417B7">
        <w:tc>
          <w:tcPr>
            <w:tcW w:w="3078" w:type="dxa"/>
          </w:tcPr>
          <w:p w14:paraId="065E2872" w14:textId="3AE4BA5C" w:rsidR="000417B7" w:rsidRPr="00563DE7" w:rsidRDefault="00F6069D" w:rsidP="00E121D2">
            <w:pPr>
              <w:pStyle w:val="Compact"/>
              <w:spacing w:before="0" w:after="0" w:line="276" w:lineRule="auto"/>
              <w:contextualSpacing/>
              <w:rPr>
                <w:sz w:val="20"/>
                <w:szCs w:val="20"/>
              </w:rPr>
            </w:pPr>
            <w:r>
              <w:rPr>
                <w:rFonts w:hint="eastAsia"/>
                <w:sz w:val="20"/>
                <w:szCs w:val="20"/>
                <w:lang w:eastAsia="zh-CN"/>
              </w:rPr>
              <w:t>W</w:t>
            </w:r>
            <w:r w:rsidR="000417B7" w:rsidRPr="00563DE7">
              <w:rPr>
                <w:sz w:val="20"/>
                <w:szCs w:val="20"/>
              </w:rPr>
              <w:t>orld oil production</w:t>
            </w:r>
          </w:p>
        </w:tc>
        <w:tc>
          <w:tcPr>
            <w:tcW w:w="3420" w:type="dxa"/>
          </w:tcPr>
          <w:p w14:paraId="654258FB" w14:textId="166F0D29"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3D5C7E89" w14:textId="0AADF11A"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206F1015" w14:textId="0107BA47"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0457417D" w14:textId="598262F3" w:rsidR="00692673" w:rsidRDefault="00692673" w:rsidP="00E121D2">
            <w:pPr>
              <w:pStyle w:val="Compact"/>
              <w:spacing w:before="0" w:after="0" w:line="276" w:lineRule="auto"/>
              <w:contextualSpacing/>
              <w:rPr>
                <w:sz w:val="20"/>
                <w:szCs w:val="20"/>
                <w:lang w:eastAsia="zh-CN"/>
              </w:rPr>
            </w:pPr>
            <w:r>
              <w:rPr>
                <w:rFonts w:hint="eastAsia"/>
                <w:sz w:val="20"/>
                <w:szCs w:val="20"/>
                <w:lang w:eastAsia="zh-CN"/>
              </w:rPr>
              <w:t xml:space="preserve">World </w:t>
            </w:r>
            <w:r w:rsidRPr="00692673">
              <w:rPr>
                <w:sz w:val="20"/>
                <w:szCs w:val="20"/>
                <w:lang w:eastAsia="zh-CN"/>
              </w:rPr>
              <w:t>Crude oil including lease condensate production,</w:t>
            </w:r>
            <w:r>
              <w:rPr>
                <w:rFonts w:hint="eastAsia"/>
                <w:sz w:val="20"/>
                <w:szCs w:val="20"/>
                <w:lang w:eastAsia="zh-CN"/>
              </w:rPr>
              <w:t xml:space="preserve"> Monthly, Million </w:t>
            </w:r>
            <w:r>
              <w:rPr>
                <w:sz w:val="20"/>
                <w:szCs w:val="20"/>
                <w:lang w:eastAsia="zh-CN"/>
              </w:rPr>
              <w:t>Barrels</w:t>
            </w:r>
            <w:r>
              <w:rPr>
                <w:rFonts w:hint="eastAsia"/>
                <w:sz w:val="20"/>
                <w:szCs w:val="20"/>
                <w:lang w:eastAsia="zh-CN"/>
              </w:rPr>
              <w:t xml:space="preserve"> per Day,</w:t>
            </w:r>
          </w:p>
          <w:p w14:paraId="4844DB06" w14:textId="30F5F251" w:rsidR="00692673" w:rsidRDefault="00692673" w:rsidP="00E121D2">
            <w:pPr>
              <w:pStyle w:val="Compact"/>
              <w:spacing w:before="0" w:after="0" w:line="276" w:lineRule="auto"/>
              <w:contextualSpacing/>
              <w:rPr>
                <w:sz w:val="20"/>
                <w:szCs w:val="20"/>
                <w:lang w:eastAsia="zh-CN"/>
              </w:rPr>
            </w:pPr>
            <w:r>
              <w:rPr>
                <w:rFonts w:hint="eastAsia"/>
                <w:sz w:val="20"/>
                <w:szCs w:val="20"/>
                <w:lang w:eastAsia="zh-CN"/>
              </w:rPr>
              <w:t>Energy Information Administration</w:t>
            </w:r>
          </w:p>
          <w:p w14:paraId="0AFB22BC" w14:textId="4A74B11F" w:rsidR="00692673" w:rsidRDefault="00692673" w:rsidP="00E121D2">
            <w:pPr>
              <w:pStyle w:val="Compact"/>
              <w:spacing w:before="0" w:after="0" w:line="276" w:lineRule="auto"/>
              <w:contextualSpacing/>
              <w:rPr>
                <w:sz w:val="20"/>
                <w:szCs w:val="20"/>
              </w:rPr>
            </w:pPr>
            <w:hyperlink r:id="rId14" w:history="1">
              <w:r w:rsidRPr="005500BB">
                <w:rPr>
                  <w:rStyle w:val="Hyperlink"/>
                  <w:sz w:val="20"/>
                  <w:szCs w:val="20"/>
                </w:rPr>
                <w:t>https://www.eia.gov/international/data/world/petroleum-and-other-liquids/monthly-petroleum-and-other-liquids-production?pd=5&amp;p=0000000000000000000000000000000000vg&amp;u=0&amp;f=M&amp;v=mapbubble&amp;a=-&amp;i=none&amp;vo=value&amp;&amp;t=C&amp;g=00000000000000000000000000000000000000000000000001&amp;l=249-ruvvvvvfvtvnvv1vrvvvvfvvvvvvfvvvou20evvvvvvvvvvnvvvs0008&amp;s=94694400000&amp;e=1727740800000</w:t>
              </w:r>
            </w:hyperlink>
          </w:p>
          <w:p w14:paraId="5FC8C5F3" w14:textId="59B217A5"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04/06/2022</w:t>
            </w:r>
            <w:r w:rsidRPr="00E673F5">
              <w:rPr>
                <w:sz w:val="20"/>
                <w:szCs w:val="20"/>
              </w:rPr>
              <w:t>)</w:t>
            </w:r>
          </w:p>
        </w:tc>
      </w:tr>
      <w:tr w:rsidR="000417B7" w:rsidRPr="00E673F5" w14:paraId="64A87103" w14:textId="77777777" w:rsidTr="000417B7">
        <w:tc>
          <w:tcPr>
            <w:tcW w:w="3078" w:type="dxa"/>
          </w:tcPr>
          <w:p w14:paraId="394481FB" w14:textId="7E105759" w:rsidR="000417B7" w:rsidRPr="00563DE7" w:rsidRDefault="000417B7" w:rsidP="00E121D2">
            <w:pPr>
              <w:pStyle w:val="Compact"/>
              <w:spacing w:before="0" w:after="0" w:line="276" w:lineRule="auto"/>
              <w:contextualSpacing/>
              <w:rPr>
                <w:sz w:val="20"/>
                <w:szCs w:val="20"/>
              </w:rPr>
            </w:pPr>
            <w:r w:rsidRPr="00563DE7">
              <w:rPr>
                <w:sz w:val="20"/>
                <w:szCs w:val="20"/>
              </w:rPr>
              <w:lastRenderedPageBreak/>
              <w:t>Growth rate of world economic activity</w:t>
            </w:r>
          </w:p>
        </w:tc>
        <w:tc>
          <w:tcPr>
            <w:tcW w:w="3420" w:type="dxa"/>
          </w:tcPr>
          <w:p w14:paraId="143B3F32" w14:textId="4D3BAC7C"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3FF41FCE" w14:textId="24C403A6"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1374F5FC" w14:textId="5FE847FC"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7229A791" w14:textId="77777777" w:rsidR="003045AF" w:rsidRDefault="003045AF" w:rsidP="00E121D2">
            <w:pPr>
              <w:pStyle w:val="Compact"/>
              <w:spacing w:before="0" w:after="0" w:line="276" w:lineRule="auto"/>
              <w:contextualSpacing/>
              <w:rPr>
                <w:sz w:val="20"/>
                <w:szCs w:val="20"/>
                <w:lang w:eastAsia="zh-CN"/>
              </w:rPr>
            </w:pPr>
            <w:r w:rsidRPr="003045AF">
              <w:rPr>
                <w:sz w:val="20"/>
                <w:szCs w:val="20"/>
              </w:rPr>
              <w:t>Index of global real economic activity</w:t>
            </w:r>
            <w:r>
              <w:rPr>
                <w:rFonts w:hint="eastAsia"/>
                <w:sz w:val="20"/>
                <w:szCs w:val="20"/>
                <w:lang w:eastAsia="zh-CN"/>
              </w:rPr>
              <w:t>, Monthly,</w:t>
            </w:r>
          </w:p>
          <w:p w14:paraId="1573B777" w14:textId="13520702" w:rsidR="00AC3FBB" w:rsidRDefault="00AC3FBB" w:rsidP="00E121D2">
            <w:pPr>
              <w:pStyle w:val="Compact"/>
              <w:spacing w:before="0" w:after="0" w:line="276" w:lineRule="auto"/>
              <w:contextualSpacing/>
              <w:rPr>
                <w:sz w:val="20"/>
                <w:szCs w:val="20"/>
                <w:lang w:eastAsia="zh-CN"/>
              </w:rPr>
            </w:pPr>
            <w:r w:rsidRPr="00E673F5">
              <w:rPr>
                <w:sz w:val="20"/>
                <w:szCs w:val="20"/>
              </w:rPr>
              <w:t>Kilian (2009)</w:t>
            </w:r>
          </w:p>
          <w:p w14:paraId="090D775A" w14:textId="7E541509" w:rsidR="00AC3FBB" w:rsidRPr="00E673F5" w:rsidRDefault="00AC3FBB" w:rsidP="00E121D2">
            <w:pPr>
              <w:pStyle w:val="Compact"/>
              <w:spacing w:before="0" w:after="0" w:line="276" w:lineRule="auto"/>
              <w:contextualSpacing/>
              <w:rPr>
                <w:sz w:val="20"/>
                <w:szCs w:val="20"/>
                <w:lang w:eastAsia="zh-CN"/>
              </w:rPr>
            </w:pPr>
            <w:hyperlink r:id="rId15" w:history="1">
              <w:r w:rsidRPr="005500BB">
                <w:rPr>
                  <w:rStyle w:val="Hyperlink"/>
                  <w:sz w:val="20"/>
                  <w:szCs w:val="20"/>
                  <w:lang w:eastAsia="zh-CN"/>
                </w:rPr>
                <w:t>https://www.dallasfed.org/research/igrea</w:t>
              </w:r>
            </w:hyperlink>
          </w:p>
        </w:tc>
      </w:tr>
      <w:tr w:rsidR="000417B7" w:rsidRPr="00E673F5" w14:paraId="1587CB98" w14:textId="77777777" w:rsidTr="000417B7">
        <w:tc>
          <w:tcPr>
            <w:tcW w:w="3078" w:type="dxa"/>
          </w:tcPr>
          <w:p w14:paraId="2D047E92" w14:textId="327340BE" w:rsidR="000417B7" w:rsidRPr="00563DE7" w:rsidRDefault="000417B7" w:rsidP="00E121D2">
            <w:pPr>
              <w:pStyle w:val="Compact"/>
              <w:spacing w:before="0" w:after="0" w:line="276" w:lineRule="auto"/>
              <w:contextualSpacing/>
              <w:rPr>
                <w:sz w:val="20"/>
                <w:szCs w:val="20"/>
              </w:rPr>
            </w:pPr>
            <w:r w:rsidRPr="00563DE7">
              <w:rPr>
                <w:sz w:val="20"/>
                <w:szCs w:val="20"/>
              </w:rPr>
              <w:t>California unemployment rate</w:t>
            </w:r>
          </w:p>
        </w:tc>
        <w:tc>
          <w:tcPr>
            <w:tcW w:w="3420" w:type="dxa"/>
          </w:tcPr>
          <w:p w14:paraId="207871E5" w14:textId="0CEF0769"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47B62346" w14:textId="06B62CD5"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31742067" w14:textId="32640955"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7D249ED5" w14:textId="77777777" w:rsidR="008C486C" w:rsidRDefault="008C486C" w:rsidP="00E121D2">
            <w:pPr>
              <w:pStyle w:val="Compact"/>
              <w:spacing w:before="0" w:after="0" w:line="276" w:lineRule="auto"/>
              <w:contextualSpacing/>
              <w:rPr>
                <w:sz w:val="20"/>
                <w:szCs w:val="20"/>
                <w:lang w:eastAsia="zh-CN"/>
              </w:rPr>
            </w:pPr>
            <w:r w:rsidRPr="008C486C">
              <w:rPr>
                <w:sz w:val="20"/>
                <w:szCs w:val="20"/>
              </w:rPr>
              <w:t>Unemployment Rate in California, Percent, Monthly, Seasonally Adjusted</w:t>
            </w:r>
            <w:r>
              <w:rPr>
                <w:rFonts w:hint="eastAsia"/>
                <w:sz w:val="20"/>
                <w:szCs w:val="20"/>
                <w:lang w:eastAsia="zh-CN"/>
              </w:rPr>
              <w:t>,</w:t>
            </w:r>
          </w:p>
          <w:p w14:paraId="5641488B" w14:textId="77777777" w:rsidR="008C486C" w:rsidRDefault="000417B7" w:rsidP="00E121D2">
            <w:pPr>
              <w:pStyle w:val="Compact"/>
              <w:spacing w:before="0" w:after="0" w:line="276" w:lineRule="auto"/>
              <w:contextualSpacing/>
              <w:rPr>
                <w:sz w:val="20"/>
                <w:szCs w:val="20"/>
              </w:rPr>
            </w:pPr>
            <w:r w:rsidRPr="00E673F5">
              <w:rPr>
                <w:sz w:val="20"/>
                <w:szCs w:val="20"/>
              </w:rPr>
              <w:t>U.S. Bureau of Labor Statistics</w:t>
            </w:r>
          </w:p>
          <w:p w14:paraId="39A34141" w14:textId="51940B16" w:rsidR="008C486C" w:rsidRDefault="008C486C" w:rsidP="00E121D2">
            <w:pPr>
              <w:pStyle w:val="Compact"/>
              <w:spacing w:before="0" w:after="0" w:line="276" w:lineRule="auto"/>
              <w:contextualSpacing/>
              <w:rPr>
                <w:sz w:val="20"/>
                <w:szCs w:val="20"/>
              </w:rPr>
            </w:pPr>
            <w:hyperlink r:id="rId16" w:history="1">
              <w:r w:rsidRPr="005500BB">
                <w:rPr>
                  <w:rStyle w:val="Hyperlink"/>
                  <w:sz w:val="20"/>
                  <w:szCs w:val="20"/>
                </w:rPr>
                <w:t>https://fred.stlouisfed.org/series/CAUR</w:t>
              </w:r>
            </w:hyperlink>
          </w:p>
          <w:p w14:paraId="4F0BDF71" w14:textId="6B2305D2"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02/02/2023</w:t>
            </w:r>
            <w:r w:rsidRPr="00E673F5">
              <w:rPr>
                <w:sz w:val="20"/>
                <w:szCs w:val="20"/>
              </w:rPr>
              <w:t>)</w:t>
            </w:r>
          </w:p>
        </w:tc>
      </w:tr>
      <w:tr w:rsidR="000417B7" w:rsidRPr="00E673F5" w14:paraId="4CE030E5" w14:textId="77777777" w:rsidTr="000417B7">
        <w:tc>
          <w:tcPr>
            <w:tcW w:w="3078" w:type="dxa"/>
          </w:tcPr>
          <w:p w14:paraId="159A3C05" w14:textId="6A783124" w:rsidR="000417B7" w:rsidRPr="00563DE7" w:rsidRDefault="000417B7" w:rsidP="00E121D2">
            <w:pPr>
              <w:pStyle w:val="Compact"/>
              <w:spacing w:before="0" w:after="0" w:line="276" w:lineRule="auto"/>
              <w:contextualSpacing/>
              <w:rPr>
                <w:sz w:val="20"/>
                <w:szCs w:val="20"/>
              </w:rPr>
            </w:pPr>
            <w:r w:rsidRPr="00563DE7">
              <w:rPr>
                <w:sz w:val="20"/>
                <w:szCs w:val="20"/>
              </w:rPr>
              <w:t>Texas unemployment rate</w:t>
            </w:r>
          </w:p>
        </w:tc>
        <w:tc>
          <w:tcPr>
            <w:tcW w:w="3420" w:type="dxa"/>
          </w:tcPr>
          <w:p w14:paraId="58FD4F53" w14:textId="0D729B4D"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08D9163F" w14:textId="5B5C7559"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0B37225E" w14:textId="1EF20AA8"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7854B7E2" w14:textId="32FBE148" w:rsidR="008C486C" w:rsidRDefault="008C486C" w:rsidP="008C486C">
            <w:pPr>
              <w:pStyle w:val="Compact"/>
              <w:spacing w:before="0" w:after="0" w:line="276" w:lineRule="auto"/>
              <w:contextualSpacing/>
              <w:rPr>
                <w:sz w:val="20"/>
                <w:szCs w:val="20"/>
                <w:lang w:eastAsia="zh-CN"/>
              </w:rPr>
            </w:pPr>
            <w:r w:rsidRPr="008C486C">
              <w:rPr>
                <w:sz w:val="20"/>
                <w:szCs w:val="20"/>
              </w:rPr>
              <w:t xml:space="preserve">Unemployment Rate in </w:t>
            </w:r>
            <w:r>
              <w:rPr>
                <w:rFonts w:hint="eastAsia"/>
                <w:sz w:val="20"/>
                <w:szCs w:val="20"/>
                <w:lang w:eastAsia="zh-CN"/>
              </w:rPr>
              <w:t>Texas</w:t>
            </w:r>
            <w:r w:rsidRPr="008C486C">
              <w:rPr>
                <w:sz w:val="20"/>
                <w:szCs w:val="20"/>
              </w:rPr>
              <w:t>, Percent, Monthly, Seasonally Adjusted</w:t>
            </w:r>
            <w:r>
              <w:rPr>
                <w:rFonts w:hint="eastAsia"/>
                <w:sz w:val="20"/>
                <w:szCs w:val="20"/>
                <w:lang w:eastAsia="zh-CN"/>
              </w:rPr>
              <w:t>,</w:t>
            </w:r>
          </w:p>
          <w:p w14:paraId="4F7D3816" w14:textId="77777777" w:rsidR="008C486C" w:rsidRDefault="000417B7" w:rsidP="00E121D2">
            <w:pPr>
              <w:pStyle w:val="Compact"/>
              <w:spacing w:before="0" w:after="0" w:line="276" w:lineRule="auto"/>
              <w:contextualSpacing/>
              <w:rPr>
                <w:sz w:val="20"/>
                <w:szCs w:val="20"/>
              </w:rPr>
            </w:pPr>
            <w:r w:rsidRPr="00E673F5">
              <w:rPr>
                <w:sz w:val="20"/>
                <w:szCs w:val="20"/>
              </w:rPr>
              <w:t>U.S. Bureau of Labor Statistics</w:t>
            </w:r>
          </w:p>
          <w:p w14:paraId="0AAD2292" w14:textId="1923ECA2" w:rsidR="008C486C" w:rsidRDefault="008C486C" w:rsidP="00E121D2">
            <w:pPr>
              <w:pStyle w:val="Compact"/>
              <w:spacing w:before="0" w:after="0" w:line="276" w:lineRule="auto"/>
              <w:contextualSpacing/>
              <w:rPr>
                <w:sz w:val="20"/>
                <w:szCs w:val="20"/>
              </w:rPr>
            </w:pPr>
            <w:hyperlink r:id="rId17" w:history="1">
              <w:r w:rsidRPr="005500BB">
                <w:rPr>
                  <w:rStyle w:val="Hyperlink"/>
                  <w:sz w:val="20"/>
                  <w:szCs w:val="20"/>
                </w:rPr>
                <w:t>https://fred.stlouisfed.org/series/TXUR</w:t>
              </w:r>
            </w:hyperlink>
          </w:p>
          <w:p w14:paraId="5D2E1B75" w14:textId="1239BEA6"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02/02/2023</w:t>
            </w:r>
            <w:r w:rsidRPr="00E673F5">
              <w:rPr>
                <w:sz w:val="20"/>
                <w:szCs w:val="20"/>
              </w:rPr>
              <w:t>)</w:t>
            </w:r>
          </w:p>
        </w:tc>
      </w:tr>
      <w:tr w:rsidR="000417B7" w:rsidRPr="00E673F5" w14:paraId="360AD8EA" w14:textId="77777777" w:rsidTr="000417B7">
        <w:tc>
          <w:tcPr>
            <w:tcW w:w="3078" w:type="dxa"/>
          </w:tcPr>
          <w:p w14:paraId="4FC08F6A" w14:textId="39BDC25F" w:rsidR="000417B7" w:rsidRPr="00563DE7" w:rsidRDefault="000417B7" w:rsidP="00E121D2">
            <w:pPr>
              <w:pStyle w:val="Compact"/>
              <w:spacing w:before="0" w:after="0" w:line="276" w:lineRule="auto"/>
              <w:contextualSpacing/>
              <w:rPr>
                <w:sz w:val="20"/>
                <w:szCs w:val="20"/>
              </w:rPr>
            </w:pPr>
            <w:r w:rsidRPr="00563DE7">
              <w:rPr>
                <w:sz w:val="20"/>
                <w:szCs w:val="20"/>
              </w:rPr>
              <w:lastRenderedPageBreak/>
              <w:t>New York unemployment rate</w:t>
            </w:r>
          </w:p>
        </w:tc>
        <w:tc>
          <w:tcPr>
            <w:tcW w:w="3420" w:type="dxa"/>
          </w:tcPr>
          <w:p w14:paraId="294AC7A0" w14:textId="242D8CB9"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34D9111A" w14:textId="7A3B96D9"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0671F355" w14:textId="1BD6C4CA"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795889D2" w14:textId="77777777" w:rsidR="008C486C" w:rsidRDefault="008C486C" w:rsidP="00E121D2">
            <w:pPr>
              <w:pStyle w:val="Compact"/>
              <w:spacing w:before="0" w:after="0" w:line="276" w:lineRule="auto"/>
              <w:contextualSpacing/>
              <w:rPr>
                <w:sz w:val="20"/>
                <w:szCs w:val="20"/>
                <w:lang w:eastAsia="zh-CN"/>
              </w:rPr>
            </w:pPr>
            <w:r w:rsidRPr="008C486C">
              <w:rPr>
                <w:sz w:val="20"/>
                <w:szCs w:val="20"/>
              </w:rPr>
              <w:t xml:space="preserve">Unemployment Rate in </w:t>
            </w:r>
            <w:r>
              <w:rPr>
                <w:rFonts w:hint="eastAsia"/>
                <w:sz w:val="20"/>
                <w:szCs w:val="20"/>
                <w:lang w:eastAsia="zh-CN"/>
              </w:rPr>
              <w:t>New York</w:t>
            </w:r>
            <w:r w:rsidRPr="008C486C">
              <w:rPr>
                <w:sz w:val="20"/>
                <w:szCs w:val="20"/>
              </w:rPr>
              <w:t>, Percent, Monthly, Seasonally Adjusted</w:t>
            </w:r>
            <w:r>
              <w:rPr>
                <w:rFonts w:hint="eastAsia"/>
                <w:sz w:val="20"/>
                <w:szCs w:val="20"/>
                <w:lang w:eastAsia="zh-CN"/>
              </w:rPr>
              <w:t xml:space="preserve">, </w:t>
            </w:r>
          </w:p>
          <w:p w14:paraId="441E7389" w14:textId="353625E5" w:rsidR="008C486C" w:rsidRDefault="008C486C" w:rsidP="00E121D2">
            <w:pPr>
              <w:pStyle w:val="Compact"/>
              <w:spacing w:before="0" w:after="0" w:line="276" w:lineRule="auto"/>
              <w:contextualSpacing/>
              <w:rPr>
                <w:sz w:val="20"/>
                <w:szCs w:val="20"/>
                <w:lang w:eastAsia="zh-CN"/>
              </w:rPr>
            </w:pPr>
            <w:r w:rsidRPr="00E673F5">
              <w:rPr>
                <w:sz w:val="20"/>
                <w:szCs w:val="20"/>
              </w:rPr>
              <w:t>U.S. Bureau of Labor Statistics</w:t>
            </w:r>
          </w:p>
          <w:p w14:paraId="7AFC8283" w14:textId="77B6986B" w:rsidR="008C486C" w:rsidRDefault="008C486C" w:rsidP="00E121D2">
            <w:pPr>
              <w:pStyle w:val="Compact"/>
              <w:spacing w:before="0" w:after="0" w:line="276" w:lineRule="auto"/>
              <w:contextualSpacing/>
              <w:rPr>
                <w:sz w:val="20"/>
                <w:szCs w:val="20"/>
              </w:rPr>
            </w:pPr>
            <w:hyperlink r:id="rId18" w:history="1">
              <w:r w:rsidRPr="005500BB">
                <w:rPr>
                  <w:rStyle w:val="Hyperlink"/>
                  <w:sz w:val="20"/>
                  <w:szCs w:val="20"/>
                </w:rPr>
                <w:t>https://fred.stlouisfed.org/series/NYUR</w:t>
              </w:r>
            </w:hyperlink>
          </w:p>
          <w:p w14:paraId="5C90B209" w14:textId="5066F96B"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02/02/2023</w:t>
            </w:r>
            <w:r w:rsidRPr="00E673F5">
              <w:rPr>
                <w:sz w:val="20"/>
                <w:szCs w:val="20"/>
              </w:rPr>
              <w:t>)</w:t>
            </w:r>
          </w:p>
        </w:tc>
      </w:tr>
      <w:tr w:rsidR="000417B7" w:rsidRPr="00E673F5" w14:paraId="098B577C" w14:textId="77777777" w:rsidTr="000417B7">
        <w:tc>
          <w:tcPr>
            <w:tcW w:w="3078" w:type="dxa"/>
          </w:tcPr>
          <w:p w14:paraId="59305416" w14:textId="2E2BB581" w:rsidR="000417B7" w:rsidRPr="00563DE7" w:rsidRDefault="000417B7" w:rsidP="00E121D2">
            <w:pPr>
              <w:pStyle w:val="Compact"/>
              <w:spacing w:before="0" w:after="0" w:line="276" w:lineRule="auto"/>
              <w:contextualSpacing/>
              <w:rPr>
                <w:sz w:val="20"/>
                <w:szCs w:val="20"/>
              </w:rPr>
            </w:pPr>
            <w:r w:rsidRPr="00563DE7">
              <w:rPr>
                <w:sz w:val="20"/>
                <w:szCs w:val="20"/>
              </w:rPr>
              <w:t>New Mexico unemployment rate</w:t>
            </w:r>
          </w:p>
        </w:tc>
        <w:tc>
          <w:tcPr>
            <w:tcW w:w="3420" w:type="dxa"/>
          </w:tcPr>
          <w:p w14:paraId="2E16A9FC" w14:textId="48A7EBB7"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3683E1CB" w14:textId="4BEDF28A"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7C79F9E4" w14:textId="4820AC8B"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282D84B2" w14:textId="77777777" w:rsidR="008C486C" w:rsidRDefault="008C486C" w:rsidP="008C486C">
            <w:pPr>
              <w:pStyle w:val="Compact"/>
              <w:spacing w:before="0" w:after="0" w:line="276" w:lineRule="auto"/>
              <w:contextualSpacing/>
              <w:rPr>
                <w:sz w:val="20"/>
                <w:szCs w:val="20"/>
                <w:lang w:eastAsia="zh-CN"/>
              </w:rPr>
            </w:pPr>
            <w:r w:rsidRPr="008C486C">
              <w:rPr>
                <w:sz w:val="20"/>
                <w:szCs w:val="20"/>
              </w:rPr>
              <w:t xml:space="preserve">Unemployment Rate in </w:t>
            </w:r>
            <w:r>
              <w:rPr>
                <w:rFonts w:hint="eastAsia"/>
                <w:sz w:val="20"/>
                <w:szCs w:val="20"/>
                <w:lang w:eastAsia="zh-CN"/>
              </w:rPr>
              <w:t>New York</w:t>
            </w:r>
            <w:r w:rsidRPr="008C486C">
              <w:rPr>
                <w:sz w:val="20"/>
                <w:szCs w:val="20"/>
              </w:rPr>
              <w:t>, Percent, Monthly, Seasonally Adjusted</w:t>
            </w:r>
            <w:r>
              <w:rPr>
                <w:rFonts w:hint="eastAsia"/>
                <w:sz w:val="20"/>
                <w:szCs w:val="20"/>
                <w:lang w:eastAsia="zh-CN"/>
              </w:rPr>
              <w:t>,</w:t>
            </w:r>
          </w:p>
          <w:p w14:paraId="47F9465B" w14:textId="77777777" w:rsidR="008C486C" w:rsidRDefault="000417B7" w:rsidP="00E121D2">
            <w:pPr>
              <w:pStyle w:val="Compact"/>
              <w:spacing w:before="0" w:after="0" w:line="276" w:lineRule="auto"/>
              <w:contextualSpacing/>
              <w:rPr>
                <w:sz w:val="20"/>
                <w:szCs w:val="20"/>
              </w:rPr>
            </w:pPr>
            <w:r w:rsidRPr="00E673F5">
              <w:rPr>
                <w:sz w:val="20"/>
                <w:szCs w:val="20"/>
              </w:rPr>
              <w:t>U.S. Bureau of Labor Statistics</w:t>
            </w:r>
          </w:p>
          <w:p w14:paraId="77120A85" w14:textId="3BAAB790" w:rsidR="008C486C" w:rsidRDefault="008C486C" w:rsidP="00E121D2">
            <w:pPr>
              <w:pStyle w:val="Compact"/>
              <w:spacing w:before="0" w:after="0" w:line="276" w:lineRule="auto"/>
              <w:contextualSpacing/>
              <w:rPr>
                <w:sz w:val="20"/>
                <w:szCs w:val="20"/>
              </w:rPr>
            </w:pPr>
            <w:hyperlink r:id="rId19" w:history="1">
              <w:r w:rsidRPr="005500BB">
                <w:rPr>
                  <w:rStyle w:val="Hyperlink"/>
                  <w:sz w:val="20"/>
                  <w:szCs w:val="20"/>
                </w:rPr>
                <w:t>https://fred.stlouisfed.org/series/NMUR</w:t>
              </w:r>
            </w:hyperlink>
          </w:p>
          <w:p w14:paraId="6E74952A" w14:textId="5F9876CA" w:rsidR="000417B7" w:rsidRPr="00E673F5" w:rsidRDefault="000417B7" w:rsidP="00E121D2">
            <w:pPr>
              <w:pStyle w:val="Compact"/>
              <w:spacing w:before="0" w:after="0" w:line="276" w:lineRule="auto"/>
              <w:contextualSpacing/>
              <w:rPr>
                <w:sz w:val="20"/>
                <w:szCs w:val="20"/>
              </w:rPr>
            </w:pPr>
            <w:r w:rsidRPr="00E673F5">
              <w:rPr>
                <w:sz w:val="20"/>
                <w:szCs w:val="20"/>
              </w:rPr>
              <w:t>(accessed</w:t>
            </w:r>
            <w:r w:rsidR="00692673">
              <w:rPr>
                <w:rFonts w:hint="eastAsia"/>
                <w:sz w:val="20"/>
                <w:szCs w:val="20"/>
                <w:lang w:eastAsia="zh-CN"/>
              </w:rPr>
              <w:t xml:space="preserve"> on</w:t>
            </w:r>
            <w:r w:rsidRPr="00E673F5">
              <w:rPr>
                <w:rFonts w:hint="eastAsia"/>
                <w:sz w:val="20"/>
                <w:szCs w:val="20"/>
                <w:lang w:eastAsia="zh-CN"/>
              </w:rPr>
              <w:t xml:space="preserve"> 02/02/2023</w:t>
            </w:r>
            <w:r w:rsidRPr="00E673F5">
              <w:rPr>
                <w:sz w:val="20"/>
                <w:szCs w:val="20"/>
              </w:rPr>
              <w:t>)</w:t>
            </w:r>
          </w:p>
        </w:tc>
      </w:tr>
      <w:tr w:rsidR="000417B7" w:rsidRPr="00E673F5" w14:paraId="6D92976D" w14:textId="77777777" w:rsidTr="000417B7">
        <w:tc>
          <w:tcPr>
            <w:tcW w:w="3078" w:type="dxa"/>
          </w:tcPr>
          <w:p w14:paraId="41A7E0D3" w14:textId="1ECA8B17" w:rsidR="000417B7" w:rsidRPr="00563DE7" w:rsidRDefault="000417B7" w:rsidP="00E121D2">
            <w:pPr>
              <w:pStyle w:val="Compact"/>
              <w:spacing w:before="0" w:after="0" w:line="276" w:lineRule="auto"/>
              <w:contextualSpacing/>
              <w:rPr>
                <w:sz w:val="20"/>
                <w:szCs w:val="20"/>
              </w:rPr>
            </w:pPr>
            <w:r w:rsidRPr="00563DE7">
              <w:rPr>
                <w:sz w:val="20"/>
                <w:szCs w:val="20"/>
              </w:rPr>
              <w:t>Political party dummy variable</w:t>
            </w:r>
          </w:p>
        </w:tc>
        <w:tc>
          <w:tcPr>
            <w:tcW w:w="3420" w:type="dxa"/>
          </w:tcPr>
          <w:p w14:paraId="6068E201" w14:textId="41172693"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32B33B06" w14:textId="32093C30"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20EC15EC" w14:textId="44F0259E"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433E0BF4" w14:textId="77777777" w:rsidR="008C486C" w:rsidRDefault="008C486C" w:rsidP="00E121D2">
            <w:pPr>
              <w:pStyle w:val="Compact"/>
              <w:spacing w:before="0" w:after="0" w:line="276" w:lineRule="auto"/>
              <w:contextualSpacing/>
              <w:rPr>
                <w:sz w:val="20"/>
                <w:szCs w:val="20"/>
                <w:lang w:eastAsia="zh-CN"/>
              </w:rPr>
            </w:pPr>
            <w:r>
              <w:rPr>
                <w:rFonts w:hint="eastAsia"/>
                <w:sz w:val="20"/>
                <w:szCs w:val="20"/>
                <w:lang w:eastAsia="zh-CN"/>
              </w:rPr>
              <w:t>Party Government Since 1857, Presidency,</w:t>
            </w:r>
          </w:p>
          <w:p w14:paraId="5FCC73BA" w14:textId="41809072" w:rsidR="008C486C" w:rsidRDefault="008C486C" w:rsidP="00E121D2">
            <w:pPr>
              <w:pStyle w:val="Compact"/>
              <w:spacing w:before="0" w:after="0" w:line="276" w:lineRule="auto"/>
              <w:contextualSpacing/>
              <w:rPr>
                <w:sz w:val="20"/>
                <w:szCs w:val="20"/>
                <w:lang w:eastAsia="zh-CN"/>
              </w:rPr>
            </w:pPr>
            <w:r w:rsidRPr="00E673F5">
              <w:rPr>
                <w:sz w:val="20"/>
                <w:szCs w:val="20"/>
              </w:rPr>
              <w:t>U.S. House of Representatives: History, Arts &amp; Archives</w:t>
            </w:r>
          </w:p>
          <w:p w14:paraId="56E7D26E" w14:textId="36D247B3" w:rsidR="008C486C" w:rsidRDefault="008C486C" w:rsidP="00E121D2">
            <w:pPr>
              <w:pStyle w:val="Compact"/>
              <w:spacing w:before="0" w:after="0" w:line="276" w:lineRule="auto"/>
              <w:contextualSpacing/>
              <w:rPr>
                <w:sz w:val="20"/>
                <w:szCs w:val="20"/>
              </w:rPr>
            </w:pPr>
            <w:hyperlink r:id="rId20" w:history="1">
              <w:r w:rsidRPr="005500BB">
                <w:rPr>
                  <w:rStyle w:val="Hyperlink"/>
                  <w:sz w:val="20"/>
                  <w:szCs w:val="20"/>
                </w:rPr>
                <w:t>https://history.house.gov/Institution/Presidents-Coinciding/Party-Government/</w:t>
              </w:r>
            </w:hyperlink>
          </w:p>
          <w:p w14:paraId="1C11AFD1" w14:textId="4E9FFC77" w:rsidR="000417B7" w:rsidRPr="00E673F5" w:rsidRDefault="000417B7" w:rsidP="00E121D2">
            <w:pPr>
              <w:pStyle w:val="Compact"/>
              <w:spacing w:before="0" w:after="0" w:line="276" w:lineRule="auto"/>
              <w:contextualSpacing/>
              <w:rPr>
                <w:sz w:val="20"/>
                <w:szCs w:val="20"/>
              </w:rPr>
            </w:pPr>
            <w:r w:rsidRPr="00E673F5">
              <w:rPr>
                <w:sz w:val="20"/>
                <w:szCs w:val="20"/>
              </w:rPr>
              <w:t xml:space="preserve"> (accessed</w:t>
            </w:r>
            <w:r w:rsidRPr="00E673F5">
              <w:rPr>
                <w:rFonts w:hint="eastAsia"/>
                <w:sz w:val="20"/>
                <w:szCs w:val="20"/>
                <w:lang w:eastAsia="zh-CN"/>
              </w:rPr>
              <w:t xml:space="preserve"> </w:t>
            </w:r>
            <w:r w:rsidR="00692673">
              <w:rPr>
                <w:rFonts w:hint="eastAsia"/>
                <w:sz w:val="20"/>
                <w:szCs w:val="20"/>
                <w:lang w:eastAsia="zh-CN"/>
              </w:rPr>
              <w:t xml:space="preserve">on </w:t>
            </w:r>
            <w:r w:rsidRPr="00E673F5">
              <w:rPr>
                <w:rFonts w:hint="eastAsia"/>
                <w:sz w:val="20"/>
                <w:szCs w:val="20"/>
                <w:lang w:eastAsia="zh-CN"/>
              </w:rPr>
              <w:t>02/02/2023</w:t>
            </w:r>
            <w:r w:rsidRPr="00E673F5">
              <w:rPr>
                <w:sz w:val="20"/>
                <w:szCs w:val="20"/>
              </w:rPr>
              <w:t>)</w:t>
            </w:r>
          </w:p>
        </w:tc>
      </w:tr>
      <w:tr w:rsidR="000417B7" w:rsidRPr="00E673F5" w14:paraId="030DAFAB" w14:textId="77777777" w:rsidTr="000417B7">
        <w:tc>
          <w:tcPr>
            <w:tcW w:w="3078" w:type="dxa"/>
          </w:tcPr>
          <w:p w14:paraId="2BC81AC6" w14:textId="2BEDFB31" w:rsidR="000417B7" w:rsidRPr="00563DE7" w:rsidRDefault="000417B7" w:rsidP="00E121D2">
            <w:pPr>
              <w:pStyle w:val="Compact"/>
              <w:spacing w:before="0" w:after="0" w:line="276" w:lineRule="auto"/>
              <w:contextualSpacing/>
              <w:rPr>
                <w:sz w:val="20"/>
                <w:szCs w:val="20"/>
              </w:rPr>
            </w:pPr>
            <w:r w:rsidRPr="00563DE7">
              <w:rPr>
                <w:sz w:val="20"/>
                <w:szCs w:val="20"/>
              </w:rPr>
              <w:t>Macroeconomic uncertainty</w:t>
            </w:r>
          </w:p>
        </w:tc>
        <w:tc>
          <w:tcPr>
            <w:tcW w:w="3420" w:type="dxa"/>
          </w:tcPr>
          <w:p w14:paraId="36B7E03E" w14:textId="60D41FD5" w:rsidR="000417B7" w:rsidRPr="00563DE7" w:rsidRDefault="000417B7" w:rsidP="00E121D2">
            <w:pPr>
              <w:pStyle w:val="Compact"/>
              <w:spacing w:before="0" w:after="0" w:line="276" w:lineRule="auto"/>
              <w:contextualSpacing/>
              <w:rPr>
                <w:sz w:val="20"/>
                <w:szCs w:val="20"/>
              </w:rPr>
            </w:pPr>
            <w:r w:rsidRPr="00563DE7">
              <w:rPr>
                <w:sz w:val="20"/>
                <w:szCs w:val="20"/>
              </w:rPr>
              <w:t>data_2024.dta</w:t>
            </w:r>
          </w:p>
        </w:tc>
        <w:tc>
          <w:tcPr>
            <w:tcW w:w="2700" w:type="dxa"/>
          </w:tcPr>
          <w:p w14:paraId="47227AD9" w14:textId="65C352F3" w:rsidR="000417B7" w:rsidRPr="00563DE7" w:rsidRDefault="000417B7" w:rsidP="00E121D2">
            <w:pPr>
              <w:pStyle w:val="Compact"/>
              <w:spacing w:before="0" w:after="0" w:line="276" w:lineRule="auto"/>
              <w:contextualSpacing/>
              <w:rPr>
                <w:sz w:val="20"/>
                <w:szCs w:val="20"/>
              </w:rPr>
            </w:pPr>
            <w:r w:rsidRPr="00563DE7">
              <w:rPr>
                <w:sz w:val="20"/>
                <w:szCs w:val="20"/>
              </w:rPr>
              <w:t>/empirical_analysis</w:t>
            </w:r>
          </w:p>
        </w:tc>
        <w:tc>
          <w:tcPr>
            <w:tcW w:w="1170" w:type="dxa"/>
          </w:tcPr>
          <w:p w14:paraId="10CFA5E2" w14:textId="15337838" w:rsidR="000417B7" w:rsidRPr="00563DE7" w:rsidRDefault="000417B7" w:rsidP="00E121D2">
            <w:pPr>
              <w:pStyle w:val="Compact"/>
              <w:spacing w:before="0" w:after="0" w:line="276" w:lineRule="auto"/>
              <w:contextualSpacing/>
              <w:rPr>
                <w:sz w:val="20"/>
                <w:szCs w:val="20"/>
              </w:rPr>
            </w:pPr>
            <w:r w:rsidRPr="00563DE7">
              <w:rPr>
                <w:sz w:val="20"/>
                <w:szCs w:val="20"/>
              </w:rPr>
              <w:t>TRUE</w:t>
            </w:r>
          </w:p>
        </w:tc>
        <w:tc>
          <w:tcPr>
            <w:tcW w:w="2808" w:type="dxa"/>
          </w:tcPr>
          <w:p w14:paraId="5AA6D6E3" w14:textId="77777777" w:rsidR="005171BA" w:rsidRDefault="005171BA" w:rsidP="00E121D2">
            <w:pPr>
              <w:pStyle w:val="Compact"/>
              <w:spacing w:before="0" w:after="0" w:line="276" w:lineRule="auto"/>
              <w:contextualSpacing/>
              <w:rPr>
                <w:sz w:val="20"/>
                <w:szCs w:val="20"/>
                <w:lang w:eastAsia="zh-CN"/>
              </w:rPr>
            </w:pPr>
            <w:r>
              <w:rPr>
                <w:rFonts w:hint="eastAsia"/>
                <w:sz w:val="20"/>
                <w:szCs w:val="20"/>
                <w:lang w:eastAsia="zh-CN"/>
              </w:rPr>
              <w:t xml:space="preserve">Total Macro Uncertainty, 12-Month Forecast Horizon, Monthly, </w:t>
            </w:r>
          </w:p>
          <w:p w14:paraId="2842CEE8" w14:textId="77777777" w:rsidR="000417B7" w:rsidRDefault="005171BA" w:rsidP="00E121D2">
            <w:pPr>
              <w:pStyle w:val="Compact"/>
              <w:spacing w:before="0" w:after="0" w:line="276" w:lineRule="auto"/>
              <w:contextualSpacing/>
              <w:rPr>
                <w:sz w:val="20"/>
                <w:szCs w:val="20"/>
              </w:rPr>
            </w:pPr>
            <w:r w:rsidRPr="00E673F5">
              <w:rPr>
                <w:sz w:val="20"/>
                <w:szCs w:val="20"/>
              </w:rPr>
              <w:t>Jurado et al. (2015)</w:t>
            </w:r>
          </w:p>
          <w:p w14:paraId="091B9AC8" w14:textId="29DCE718" w:rsidR="00AC3FBB" w:rsidRPr="00E673F5" w:rsidRDefault="00AC3FBB" w:rsidP="00E121D2">
            <w:pPr>
              <w:pStyle w:val="Compact"/>
              <w:spacing w:before="0" w:after="0" w:line="276" w:lineRule="auto"/>
              <w:contextualSpacing/>
              <w:rPr>
                <w:sz w:val="20"/>
                <w:szCs w:val="20"/>
                <w:lang w:eastAsia="zh-CN"/>
              </w:rPr>
            </w:pPr>
            <w:hyperlink r:id="rId21" w:history="1">
              <w:r w:rsidRPr="005500BB">
                <w:rPr>
                  <w:rStyle w:val="Hyperlink"/>
                  <w:sz w:val="20"/>
                  <w:szCs w:val="20"/>
                  <w:lang w:eastAsia="zh-CN"/>
                </w:rPr>
                <w:t>https://www.sydneyludvigson.com/macro-and-financial-uncertainty-indexes</w:t>
              </w:r>
            </w:hyperlink>
          </w:p>
        </w:tc>
      </w:tr>
      <w:tr w:rsidR="000417B7" w:rsidRPr="00E673F5" w14:paraId="3DC8EBF5" w14:textId="77777777" w:rsidTr="000417B7">
        <w:tc>
          <w:tcPr>
            <w:tcW w:w="3078" w:type="dxa"/>
            <w:tcBorders>
              <w:bottom w:val="single" w:sz="4" w:space="0" w:color="auto"/>
            </w:tcBorders>
          </w:tcPr>
          <w:p w14:paraId="65C498AA" w14:textId="77777777" w:rsidR="000417B7" w:rsidRDefault="000417B7" w:rsidP="00E121D2">
            <w:pPr>
              <w:pStyle w:val="Compact"/>
              <w:spacing w:before="0" w:after="0" w:line="276" w:lineRule="auto"/>
              <w:contextualSpacing/>
              <w:rPr>
                <w:sz w:val="20"/>
                <w:szCs w:val="20"/>
              </w:rPr>
            </w:pPr>
            <w:r w:rsidRPr="00563DE7">
              <w:rPr>
                <w:sz w:val="20"/>
                <w:szCs w:val="20"/>
              </w:rPr>
              <w:lastRenderedPageBreak/>
              <w:t>EPU index</w:t>
            </w:r>
          </w:p>
          <w:p w14:paraId="1C9ED6A0" w14:textId="77777777" w:rsidR="00AC3FBB" w:rsidRDefault="00AC3FBB" w:rsidP="00E121D2">
            <w:pPr>
              <w:pStyle w:val="Compact"/>
              <w:spacing w:before="0" w:after="0" w:line="276" w:lineRule="auto"/>
              <w:contextualSpacing/>
              <w:rPr>
                <w:sz w:val="20"/>
                <w:szCs w:val="20"/>
              </w:rPr>
            </w:pPr>
          </w:p>
          <w:p w14:paraId="5395F98D" w14:textId="77777777" w:rsidR="00AC3FBB" w:rsidRDefault="00AC3FBB" w:rsidP="00E121D2">
            <w:pPr>
              <w:pStyle w:val="Compact"/>
              <w:spacing w:before="0" w:after="0" w:line="276" w:lineRule="auto"/>
              <w:contextualSpacing/>
              <w:rPr>
                <w:sz w:val="20"/>
                <w:szCs w:val="20"/>
              </w:rPr>
            </w:pPr>
          </w:p>
          <w:p w14:paraId="04FBEDF0" w14:textId="77777777" w:rsidR="00FA570D" w:rsidRDefault="00FA570D" w:rsidP="00E121D2">
            <w:pPr>
              <w:pStyle w:val="Compact"/>
              <w:spacing w:before="0" w:after="0" w:line="276" w:lineRule="auto"/>
              <w:contextualSpacing/>
              <w:rPr>
                <w:sz w:val="20"/>
                <w:szCs w:val="20"/>
                <w:lang w:eastAsia="zh-CN"/>
              </w:rPr>
            </w:pPr>
          </w:p>
          <w:p w14:paraId="2B40FC4C" w14:textId="77777777" w:rsidR="00FA570D" w:rsidRDefault="00FA570D" w:rsidP="00E121D2">
            <w:pPr>
              <w:pStyle w:val="Compact"/>
              <w:spacing w:before="0" w:after="0" w:line="276" w:lineRule="auto"/>
              <w:contextualSpacing/>
              <w:rPr>
                <w:sz w:val="20"/>
                <w:szCs w:val="20"/>
                <w:lang w:eastAsia="zh-CN"/>
              </w:rPr>
            </w:pPr>
          </w:p>
          <w:p w14:paraId="4D2417AF" w14:textId="62B3EABB" w:rsidR="00AC3FBB" w:rsidRDefault="00AC3FBB" w:rsidP="00E121D2">
            <w:pPr>
              <w:pStyle w:val="Compact"/>
              <w:spacing w:before="0" w:after="0" w:line="276" w:lineRule="auto"/>
              <w:contextualSpacing/>
              <w:rPr>
                <w:sz w:val="20"/>
                <w:szCs w:val="20"/>
                <w:lang w:eastAsia="zh-CN"/>
              </w:rPr>
            </w:pPr>
            <w:r>
              <w:rPr>
                <w:rFonts w:hint="eastAsia"/>
                <w:sz w:val="20"/>
                <w:szCs w:val="20"/>
                <w:lang w:eastAsia="zh-CN"/>
              </w:rPr>
              <w:t>EPU Regulation</w:t>
            </w:r>
          </w:p>
          <w:p w14:paraId="23385847" w14:textId="77777777" w:rsidR="00AC3FBB" w:rsidRDefault="00AC3FBB" w:rsidP="00E121D2">
            <w:pPr>
              <w:pStyle w:val="Compact"/>
              <w:spacing w:before="0" w:after="0" w:line="276" w:lineRule="auto"/>
              <w:contextualSpacing/>
              <w:rPr>
                <w:sz w:val="20"/>
                <w:szCs w:val="20"/>
                <w:lang w:eastAsia="zh-CN"/>
              </w:rPr>
            </w:pPr>
          </w:p>
          <w:p w14:paraId="55B5ED70" w14:textId="77777777" w:rsidR="00AC3FBB" w:rsidRDefault="00AC3FBB" w:rsidP="00E121D2">
            <w:pPr>
              <w:pStyle w:val="Compact"/>
              <w:spacing w:before="0" w:after="0" w:line="276" w:lineRule="auto"/>
              <w:contextualSpacing/>
              <w:rPr>
                <w:sz w:val="20"/>
                <w:szCs w:val="20"/>
                <w:lang w:eastAsia="zh-CN"/>
              </w:rPr>
            </w:pPr>
          </w:p>
          <w:p w14:paraId="4CCED88A" w14:textId="77777777" w:rsidR="00AC3FBB" w:rsidRDefault="00AC3FBB" w:rsidP="00E121D2">
            <w:pPr>
              <w:pStyle w:val="Compact"/>
              <w:spacing w:before="0" w:after="0" w:line="276" w:lineRule="auto"/>
              <w:contextualSpacing/>
              <w:rPr>
                <w:sz w:val="20"/>
                <w:szCs w:val="20"/>
                <w:lang w:eastAsia="zh-CN"/>
              </w:rPr>
            </w:pPr>
          </w:p>
          <w:p w14:paraId="098DD3ED" w14:textId="77777777" w:rsidR="009A00E2" w:rsidRDefault="009A00E2" w:rsidP="00E121D2">
            <w:pPr>
              <w:pStyle w:val="Compact"/>
              <w:spacing w:before="0" w:after="0" w:line="276" w:lineRule="auto"/>
              <w:contextualSpacing/>
              <w:rPr>
                <w:sz w:val="20"/>
                <w:szCs w:val="20"/>
                <w:lang w:eastAsia="zh-CN"/>
              </w:rPr>
            </w:pPr>
          </w:p>
          <w:p w14:paraId="1B1F15FE" w14:textId="348265F2" w:rsidR="009A00E2" w:rsidRDefault="00AC3FBB" w:rsidP="00E121D2">
            <w:pPr>
              <w:pStyle w:val="Compact"/>
              <w:spacing w:before="0" w:after="0" w:line="276" w:lineRule="auto"/>
              <w:contextualSpacing/>
              <w:rPr>
                <w:sz w:val="20"/>
                <w:szCs w:val="20"/>
                <w:lang w:eastAsia="zh-CN"/>
              </w:rPr>
            </w:pPr>
            <w:r>
              <w:rPr>
                <w:rFonts w:hint="eastAsia"/>
                <w:sz w:val="20"/>
                <w:szCs w:val="20"/>
                <w:lang w:eastAsia="zh-CN"/>
              </w:rPr>
              <w:t xml:space="preserve">Climate </w:t>
            </w:r>
            <w:r w:rsidR="009A00E2">
              <w:rPr>
                <w:rFonts w:hint="eastAsia"/>
                <w:sz w:val="20"/>
                <w:szCs w:val="20"/>
                <w:lang w:eastAsia="zh-CN"/>
              </w:rPr>
              <w:t>Policy</w:t>
            </w:r>
            <w:r>
              <w:rPr>
                <w:rFonts w:hint="eastAsia"/>
                <w:sz w:val="20"/>
                <w:szCs w:val="20"/>
                <w:lang w:eastAsia="zh-CN"/>
              </w:rPr>
              <w:t xml:space="preserve"> Uncertainty Index</w:t>
            </w:r>
          </w:p>
          <w:p w14:paraId="6E3B6E02" w14:textId="77777777" w:rsidR="009A00E2" w:rsidRDefault="009A00E2" w:rsidP="00E121D2">
            <w:pPr>
              <w:pStyle w:val="Compact"/>
              <w:spacing w:before="0" w:after="0" w:line="276" w:lineRule="auto"/>
              <w:contextualSpacing/>
              <w:rPr>
                <w:sz w:val="20"/>
                <w:szCs w:val="20"/>
                <w:lang w:eastAsia="zh-CN"/>
              </w:rPr>
            </w:pPr>
          </w:p>
          <w:p w14:paraId="6235EF5E" w14:textId="77777777" w:rsidR="009A00E2" w:rsidRDefault="009A00E2" w:rsidP="00E121D2">
            <w:pPr>
              <w:pStyle w:val="Compact"/>
              <w:spacing w:before="0" w:after="0" w:line="276" w:lineRule="auto"/>
              <w:contextualSpacing/>
              <w:rPr>
                <w:sz w:val="20"/>
                <w:szCs w:val="20"/>
                <w:lang w:eastAsia="zh-CN"/>
              </w:rPr>
            </w:pPr>
          </w:p>
          <w:p w14:paraId="3F18F1C3" w14:textId="324061BF" w:rsidR="00AC3FBB" w:rsidRPr="00563DE7" w:rsidRDefault="009A00E2" w:rsidP="00E121D2">
            <w:pPr>
              <w:pStyle w:val="Compact"/>
              <w:spacing w:before="0" w:after="0" w:line="276" w:lineRule="auto"/>
              <w:contextualSpacing/>
              <w:rPr>
                <w:sz w:val="20"/>
                <w:szCs w:val="20"/>
                <w:lang w:eastAsia="zh-CN"/>
              </w:rPr>
            </w:pPr>
            <w:r>
              <w:rPr>
                <w:rFonts w:hint="eastAsia"/>
                <w:sz w:val="20"/>
                <w:szCs w:val="20"/>
                <w:lang w:eastAsia="zh-CN"/>
              </w:rPr>
              <w:t>Geopolitical Risk Uncertainty Index</w:t>
            </w:r>
          </w:p>
        </w:tc>
        <w:tc>
          <w:tcPr>
            <w:tcW w:w="3420" w:type="dxa"/>
            <w:tcBorders>
              <w:bottom w:val="single" w:sz="4" w:space="0" w:color="auto"/>
            </w:tcBorders>
          </w:tcPr>
          <w:p w14:paraId="67CF137C" w14:textId="77777777" w:rsidR="000417B7" w:rsidRDefault="000417B7" w:rsidP="00E121D2">
            <w:pPr>
              <w:pStyle w:val="Compact"/>
              <w:spacing w:before="0" w:after="0" w:line="276" w:lineRule="auto"/>
              <w:contextualSpacing/>
              <w:rPr>
                <w:sz w:val="20"/>
                <w:szCs w:val="20"/>
              </w:rPr>
            </w:pPr>
            <w:r w:rsidRPr="00563DE7">
              <w:rPr>
                <w:sz w:val="20"/>
                <w:szCs w:val="20"/>
              </w:rPr>
              <w:t>data_2024.dta</w:t>
            </w:r>
          </w:p>
          <w:p w14:paraId="348F9D54" w14:textId="77777777" w:rsidR="00AC3FBB" w:rsidRDefault="00AC3FBB" w:rsidP="00E121D2">
            <w:pPr>
              <w:pStyle w:val="Compact"/>
              <w:spacing w:before="0" w:after="0" w:line="276" w:lineRule="auto"/>
              <w:contextualSpacing/>
              <w:rPr>
                <w:sz w:val="20"/>
                <w:szCs w:val="20"/>
              </w:rPr>
            </w:pPr>
          </w:p>
          <w:p w14:paraId="28784BAC" w14:textId="77777777" w:rsidR="00AC3FBB" w:rsidRDefault="00AC3FBB" w:rsidP="00E121D2">
            <w:pPr>
              <w:pStyle w:val="Compact"/>
              <w:spacing w:before="0" w:after="0" w:line="276" w:lineRule="auto"/>
              <w:contextualSpacing/>
              <w:rPr>
                <w:sz w:val="20"/>
                <w:szCs w:val="20"/>
              </w:rPr>
            </w:pPr>
          </w:p>
          <w:p w14:paraId="703D9DC5" w14:textId="77777777" w:rsidR="00FA570D" w:rsidRDefault="00FA570D" w:rsidP="00E121D2">
            <w:pPr>
              <w:pStyle w:val="Compact"/>
              <w:spacing w:before="0" w:after="0" w:line="276" w:lineRule="auto"/>
              <w:contextualSpacing/>
              <w:rPr>
                <w:sz w:val="20"/>
                <w:szCs w:val="20"/>
              </w:rPr>
            </w:pPr>
          </w:p>
          <w:p w14:paraId="29B6BE6B" w14:textId="77777777" w:rsidR="00FA570D" w:rsidRDefault="00FA570D" w:rsidP="00E121D2">
            <w:pPr>
              <w:pStyle w:val="Compact"/>
              <w:spacing w:before="0" w:after="0" w:line="276" w:lineRule="auto"/>
              <w:contextualSpacing/>
              <w:rPr>
                <w:sz w:val="20"/>
                <w:szCs w:val="20"/>
              </w:rPr>
            </w:pPr>
          </w:p>
          <w:p w14:paraId="0802F2DE" w14:textId="43478499" w:rsidR="00AC3FBB" w:rsidRDefault="00AC3FBB" w:rsidP="00E121D2">
            <w:pPr>
              <w:pStyle w:val="Compact"/>
              <w:spacing w:before="0" w:after="0" w:line="276" w:lineRule="auto"/>
              <w:contextualSpacing/>
              <w:rPr>
                <w:sz w:val="20"/>
                <w:szCs w:val="20"/>
              </w:rPr>
            </w:pPr>
            <w:r w:rsidRPr="00563DE7">
              <w:rPr>
                <w:sz w:val="20"/>
                <w:szCs w:val="20"/>
              </w:rPr>
              <w:t>data_2024.dta</w:t>
            </w:r>
          </w:p>
          <w:p w14:paraId="55A8139A" w14:textId="77777777" w:rsidR="00AC3FBB" w:rsidRDefault="00AC3FBB" w:rsidP="00E121D2">
            <w:pPr>
              <w:pStyle w:val="Compact"/>
              <w:spacing w:before="0" w:after="0" w:line="276" w:lineRule="auto"/>
              <w:contextualSpacing/>
              <w:rPr>
                <w:sz w:val="20"/>
                <w:szCs w:val="20"/>
              </w:rPr>
            </w:pPr>
          </w:p>
          <w:p w14:paraId="525DDDEE" w14:textId="77777777" w:rsidR="00AC3FBB" w:rsidRDefault="00AC3FBB" w:rsidP="00E121D2">
            <w:pPr>
              <w:pStyle w:val="Compact"/>
              <w:spacing w:before="0" w:after="0" w:line="276" w:lineRule="auto"/>
              <w:contextualSpacing/>
              <w:rPr>
                <w:sz w:val="20"/>
                <w:szCs w:val="20"/>
              </w:rPr>
            </w:pPr>
          </w:p>
          <w:p w14:paraId="0AA48F37" w14:textId="77777777" w:rsidR="00AC3FBB" w:rsidRDefault="00AC3FBB" w:rsidP="00E121D2">
            <w:pPr>
              <w:pStyle w:val="Compact"/>
              <w:spacing w:before="0" w:after="0" w:line="276" w:lineRule="auto"/>
              <w:contextualSpacing/>
              <w:rPr>
                <w:sz w:val="20"/>
                <w:szCs w:val="20"/>
              </w:rPr>
            </w:pPr>
          </w:p>
          <w:p w14:paraId="47C9E9DD" w14:textId="77777777" w:rsidR="009A00E2" w:rsidRDefault="009A00E2" w:rsidP="00E121D2">
            <w:pPr>
              <w:pStyle w:val="Compact"/>
              <w:spacing w:before="0" w:after="0" w:line="276" w:lineRule="auto"/>
              <w:contextualSpacing/>
              <w:rPr>
                <w:sz w:val="20"/>
                <w:szCs w:val="20"/>
              </w:rPr>
            </w:pPr>
          </w:p>
          <w:p w14:paraId="4A67AD07" w14:textId="2107EADD" w:rsidR="00AC3FBB" w:rsidRDefault="00AC3FBB" w:rsidP="00E121D2">
            <w:pPr>
              <w:pStyle w:val="Compact"/>
              <w:spacing w:before="0" w:after="0" w:line="276" w:lineRule="auto"/>
              <w:contextualSpacing/>
              <w:rPr>
                <w:sz w:val="20"/>
                <w:szCs w:val="20"/>
              </w:rPr>
            </w:pPr>
            <w:r w:rsidRPr="00563DE7">
              <w:rPr>
                <w:sz w:val="20"/>
                <w:szCs w:val="20"/>
              </w:rPr>
              <w:t>data_2024.dta</w:t>
            </w:r>
          </w:p>
          <w:p w14:paraId="087D2380" w14:textId="77777777" w:rsidR="009A00E2" w:rsidRDefault="009A00E2" w:rsidP="00E121D2">
            <w:pPr>
              <w:pStyle w:val="Compact"/>
              <w:spacing w:before="0" w:after="0" w:line="276" w:lineRule="auto"/>
              <w:contextualSpacing/>
              <w:rPr>
                <w:sz w:val="20"/>
                <w:szCs w:val="20"/>
              </w:rPr>
            </w:pPr>
          </w:p>
          <w:p w14:paraId="5D3E69BB" w14:textId="77777777" w:rsidR="009A00E2" w:rsidRDefault="009A00E2" w:rsidP="00E121D2">
            <w:pPr>
              <w:pStyle w:val="Compact"/>
              <w:spacing w:before="0" w:after="0" w:line="276" w:lineRule="auto"/>
              <w:contextualSpacing/>
              <w:rPr>
                <w:sz w:val="20"/>
                <w:szCs w:val="20"/>
              </w:rPr>
            </w:pPr>
          </w:p>
          <w:p w14:paraId="3AFF99FD" w14:textId="3E6B07EC" w:rsidR="009A00E2" w:rsidRPr="00563DE7" w:rsidRDefault="009A00E2" w:rsidP="00E121D2">
            <w:pPr>
              <w:pStyle w:val="Compact"/>
              <w:spacing w:before="0" w:after="0" w:line="276" w:lineRule="auto"/>
              <w:contextualSpacing/>
              <w:rPr>
                <w:sz w:val="20"/>
                <w:szCs w:val="20"/>
              </w:rPr>
            </w:pPr>
            <w:r w:rsidRPr="00563DE7">
              <w:rPr>
                <w:sz w:val="20"/>
                <w:szCs w:val="20"/>
              </w:rPr>
              <w:t>data_2024.dta</w:t>
            </w:r>
          </w:p>
        </w:tc>
        <w:tc>
          <w:tcPr>
            <w:tcW w:w="2700" w:type="dxa"/>
            <w:tcBorders>
              <w:bottom w:val="single" w:sz="4" w:space="0" w:color="auto"/>
            </w:tcBorders>
          </w:tcPr>
          <w:p w14:paraId="4AE38FD1" w14:textId="77777777" w:rsidR="000417B7" w:rsidRDefault="000417B7" w:rsidP="00E121D2">
            <w:pPr>
              <w:pStyle w:val="Compact"/>
              <w:spacing w:before="0" w:after="0" w:line="276" w:lineRule="auto"/>
              <w:contextualSpacing/>
              <w:rPr>
                <w:sz w:val="20"/>
                <w:szCs w:val="20"/>
              </w:rPr>
            </w:pPr>
            <w:r w:rsidRPr="00563DE7">
              <w:rPr>
                <w:sz w:val="20"/>
                <w:szCs w:val="20"/>
              </w:rPr>
              <w:t>/empirical_analysis</w:t>
            </w:r>
          </w:p>
          <w:p w14:paraId="056067B1" w14:textId="77777777" w:rsidR="00AC3FBB" w:rsidRDefault="00AC3FBB" w:rsidP="00E121D2">
            <w:pPr>
              <w:pStyle w:val="Compact"/>
              <w:spacing w:before="0" w:after="0" w:line="276" w:lineRule="auto"/>
              <w:contextualSpacing/>
              <w:rPr>
                <w:sz w:val="20"/>
                <w:szCs w:val="20"/>
              </w:rPr>
            </w:pPr>
          </w:p>
          <w:p w14:paraId="08573B13" w14:textId="77777777" w:rsidR="00AC3FBB" w:rsidRDefault="00AC3FBB" w:rsidP="00E121D2">
            <w:pPr>
              <w:pStyle w:val="Compact"/>
              <w:spacing w:before="0" w:after="0" w:line="276" w:lineRule="auto"/>
              <w:contextualSpacing/>
              <w:rPr>
                <w:sz w:val="20"/>
                <w:szCs w:val="20"/>
              </w:rPr>
            </w:pPr>
          </w:p>
          <w:p w14:paraId="0A56254C" w14:textId="77777777" w:rsidR="00FA570D" w:rsidRDefault="00FA570D" w:rsidP="00E121D2">
            <w:pPr>
              <w:pStyle w:val="Compact"/>
              <w:spacing w:before="0" w:after="0" w:line="276" w:lineRule="auto"/>
              <w:contextualSpacing/>
              <w:rPr>
                <w:sz w:val="20"/>
                <w:szCs w:val="20"/>
              </w:rPr>
            </w:pPr>
          </w:p>
          <w:p w14:paraId="74502FD2" w14:textId="77777777" w:rsidR="00FA570D" w:rsidRDefault="00FA570D" w:rsidP="00E121D2">
            <w:pPr>
              <w:pStyle w:val="Compact"/>
              <w:spacing w:before="0" w:after="0" w:line="276" w:lineRule="auto"/>
              <w:contextualSpacing/>
              <w:rPr>
                <w:sz w:val="20"/>
                <w:szCs w:val="20"/>
              </w:rPr>
            </w:pPr>
          </w:p>
          <w:p w14:paraId="415D2B41" w14:textId="2AF0D60B" w:rsidR="00AC3FBB" w:rsidRDefault="00AC3FBB" w:rsidP="00E121D2">
            <w:pPr>
              <w:pStyle w:val="Compact"/>
              <w:spacing w:before="0" w:after="0" w:line="276" w:lineRule="auto"/>
              <w:contextualSpacing/>
              <w:rPr>
                <w:sz w:val="20"/>
                <w:szCs w:val="20"/>
              </w:rPr>
            </w:pPr>
            <w:r w:rsidRPr="00563DE7">
              <w:rPr>
                <w:sz w:val="20"/>
                <w:szCs w:val="20"/>
              </w:rPr>
              <w:t>/empirical_analysis</w:t>
            </w:r>
          </w:p>
          <w:p w14:paraId="7A3E8D5B" w14:textId="77777777" w:rsidR="00AC3FBB" w:rsidRDefault="00AC3FBB" w:rsidP="00E121D2">
            <w:pPr>
              <w:pStyle w:val="Compact"/>
              <w:spacing w:before="0" w:after="0" w:line="276" w:lineRule="auto"/>
              <w:contextualSpacing/>
              <w:rPr>
                <w:sz w:val="20"/>
                <w:szCs w:val="20"/>
              </w:rPr>
            </w:pPr>
          </w:p>
          <w:p w14:paraId="436B30AD" w14:textId="77777777" w:rsidR="00AC3FBB" w:rsidRDefault="00AC3FBB" w:rsidP="00E121D2">
            <w:pPr>
              <w:pStyle w:val="Compact"/>
              <w:spacing w:before="0" w:after="0" w:line="276" w:lineRule="auto"/>
              <w:contextualSpacing/>
              <w:rPr>
                <w:sz w:val="20"/>
                <w:szCs w:val="20"/>
              </w:rPr>
            </w:pPr>
          </w:p>
          <w:p w14:paraId="1C4AE353" w14:textId="77777777" w:rsidR="00AC3FBB" w:rsidRDefault="00AC3FBB" w:rsidP="00E121D2">
            <w:pPr>
              <w:pStyle w:val="Compact"/>
              <w:spacing w:before="0" w:after="0" w:line="276" w:lineRule="auto"/>
              <w:contextualSpacing/>
              <w:rPr>
                <w:sz w:val="20"/>
                <w:szCs w:val="20"/>
              </w:rPr>
            </w:pPr>
          </w:p>
          <w:p w14:paraId="1543CDBA" w14:textId="77777777" w:rsidR="009A00E2" w:rsidRDefault="009A00E2" w:rsidP="00E121D2">
            <w:pPr>
              <w:pStyle w:val="Compact"/>
              <w:spacing w:before="0" w:after="0" w:line="276" w:lineRule="auto"/>
              <w:contextualSpacing/>
              <w:rPr>
                <w:sz w:val="20"/>
                <w:szCs w:val="20"/>
              </w:rPr>
            </w:pPr>
          </w:p>
          <w:p w14:paraId="46C233D8" w14:textId="281DAB5D" w:rsidR="00AC3FBB" w:rsidRDefault="00AC3FBB" w:rsidP="00E121D2">
            <w:pPr>
              <w:pStyle w:val="Compact"/>
              <w:spacing w:before="0" w:after="0" w:line="276" w:lineRule="auto"/>
              <w:contextualSpacing/>
              <w:rPr>
                <w:sz w:val="20"/>
                <w:szCs w:val="20"/>
              </w:rPr>
            </w:pPr>
            <w:r w:rsidRPr="00563DE7">
              <w:rPr>
                <w:sz w:val="20"/>
                <w:szCs w:val="20"/>
              </w:rPr>
              <w:t>/empirical_analysis</w:t>
            </w:r>
          </w:p>
          <w:p w14:paraId="2C6FC5F1" w14:textId="77777777" w:rsidR="009A00E2" w:rsidRDefault="009A00E2" w:rsidP="00E121D2">
            <w:pPr>
              <w:pStyle w:val="Compact"/>
              <w:spacing w:before="0" w:after="0" w:line="276" w:lineRule="auto"/>
              <w:contextualSpacing/>
              <w:rPr>
                <w:sz w:val="20"/>
                <w:szCs w:val="20"/>
              </w:rPr>
            </w:pPr>
          </w:p>
          <w:p w14:paraId="20BFD8A9" w14:textId="77777777" w:rsidR="009A00E2" w:rsidRDefault="009A00E2" w:rsidP="00E121D2">
            <w:pPr>
              <w:pStyle w:val="Compact"/>
              <w:spacing w:before="0" w:after="0" w:line="276" w:lineRule="auto"/>
              <w:contextualSpacing/>
              <w:rPr>
                <w:sz w:val="20"/>
                <w:szCs w:val="20"/>
              </w:rPr>
            </w:pPr>
          </w:p>
          <w:p w14:paraId="7AC348B6" w14:textId="7AE79CB0" w:rsidR="009A00E2" w:rsidRPr="00563DE7" w:rsidRDefault="009A00E2" w:rsidP="00E121D2">
            <w:pPr>
              <w:pStyle w:val="Compact"/>
              <w:spacing w:before="0" w:after="0" w:line="276" w:lineRule="auto"/>
              <w:contextualSpacing/>
              <w:rPr>
                <w:sz w:val="20"/>
                <w:szCs w:val="20"/>
              </w:rPr>
            </w:pPr>
            <w:r w:rsidRPr="00563DE7">
              <w:rPr>
                <w:sz w:val="20"/>
                <w:szCs w:val="20"/>
              </w:rPr>
              <w:t>/empirical_analysis</w:t>
            </w:r>
          </w:p>
        </w:tc>
        <w:tc>
          <w:tcPr>
            <w:tcW w:w="1170" w:type="dxa"/>
            <w:tcBorders>
              <w:bottom w:val="single" w:sz="4" w:space="0" w:color="auto"/>
            </w:tcBorders>
          </w:tcPr>
          <w:p w14:paraId="00C8B550" w14:textId="77777777" w:rsidR="000417B7" w:rsidRDefault="000417B7" w:rsidP="00E121D2">
            <w:pPr>
              <w:pStyle w:val="Compact"/>
              <w:spacing w:before="0" w:after="0" w:line="276" w:lineRule="auto"/>
              <w:contextualSpacing/>
              <w:rPr>
                <w:sz w:val="20"/>
                <w:szCs w:val="20"/>
              </w:rPr>
            </w:pPr>
            <w:r w:rsidRPr="00563DE7">
              <w:rPr>
                <w:sz w:val="20"/>
                <w:szCs w:val="20"/>
              </w:rPr>
              <w:t>TRUE</w:t>
            </w:r>
          </w:p>
          <w:p w14:paraId="70BBCBF9" w14:textId="77777777" w:rsidR="00AC3FBB" w:rsidRDefault="00AC3FBB" w:rsidP="00E121D2">
            <w:pPr>
              <w:pStyle w:val="Compact"/>
              <w:spacing w:before="0" w:after="0" w:line="276" w:lineRule="auto"/>
              <w:contextualSpacing/>
              <w:rPr>
                <w:sz w:val="20"/>
                <w:szCs w:val="20"/>
              </w:rPr>
            </w:pPr>
          </w:p>
          <w:p w14:paraId="0CE2FE9E" w14:textId="77777777" w:rsidR="00AC3FBB" w:rsidRDefault="00AC3FBB" w:rsidP="00E121D2">
            <w:pPr>
              <w:pStyle w:val="Compact"/>
              <w:spacing w:before="0" w:after="0" w:line="276" w:lineRule="auto"/>
              <w:contextualSpacing/>
              <w:rPr>
                <w:sz w:val="20"/>
                <w:szCs w:val="20"/>
              </w:rPr>
            </w:pPr>
          </w:p>
          <w:p w14:paraId="5B1CC3E9" w14:textId="77777777" w:rsidR="00FA570D" w:rsidRDefault="00FA570D" w:rsidP="00E121D2">
            <w:pPr>
              <w:pStyle w:val="Compact"/>
              <w:spacing w:before="0" w:after="0" w:line="276" w:lineRule="auto"/>
              <w:contextualSpacing/>
              <w:rPr>
                <w:sz w:val="20"/>
                <w:szCs w:val="20"/>
                <w:lang w:eastAsia="zh-CN"/>
              </w:rPr>
            </w:pPr>
          </w:p>
          <w:p w14:paraId="54D5D8F3" w14:textId="77777777" w:rsidR="00FA570D" w:rsidRDefault="00FA570D" w:rsidP="00E121D2">
            <w:pPr>
              <w:pStyle w:val="Compact"/>
              <w:spacing w:before="0" w:after="0" w:line="276" w:lineRule="auto"/>
              <w:contextualSpacing/>
              <w:rPr>
                <w:sz w:val="20"/>
                <w:szCs w:val="20"/>
                <w:lang w:eastAsia="zh-CN"/>
              </w:rPr>
            </w:pPr>
          </w:p>
          <w:p w14:paraId="66DAB023" w14:textId="7994999B" w:rsidR="00AC3FBB" w:rsidRDefault="00AC3FBB" w:rsidP="00E121D2">
            <w:pPr>
              <w:pStyle w:val="Compact"/>
              <w:spacing w:before="0" w:after="0" w:line="276" w:lineRule="auto"/>
              <w:contextualSpacing/>
              <w:rPr>
                <w:sz w:val="20"/>
                <w:szCs w:val="20"/>
                <w:lang w:eastAsia="zh-CN"/>
              </w:rPr>
            </w:pPr>
            <w:r>
              <w:rPr>
                <w:rFonts w:hint="eastAsia"/>
                <w:sz w:val="20"/>
                <w:szCs w:val="20"/>
                <w:lang w:eastAsia="zh-CN"/>
              </w:rPr>
              <w:t>TRUE</w:t>
            </w:r>
          </w:p>
          <w:p w14:paraId="2678BACB" w14:textId="77777777" w:rsidR="00AC3FBB" w:rsidRDefault="00AC3FBB" w:rsidP="00E121D2">
            <w:pPr>
              <w:pStyle w:val="Compact"/>
              <w:spacing w:before="0" w:after="0" w:line="276" w:lineRule="auto"/>
              <w:contextualSpacing/>
              <w:rPr>
                <w:sz w:val="20"/>
                <w:szCs w:val="20"/>
                <w:lang w:eastAsia="zh-CN"/>
              </w:rPr>
            </w:pPr>
          </w:p>
          <w:p w14:paraId="00020084" w14:textId="77777777" w:rsidR="00AC3FBB" w:rsidRDefault="00AC3FBB" w:rsidP="00E121D2">
            <w:pPr>
              <w:pStyle w:val="Compact"/>
              <w:spacing w:before="0" w:after="0" w:line="276" w:lineRule="auto"/>
              <w:contextualSpacing/>
              <w:rPr>
                <w:sz w:val="20"/>
                <w:szCs w:val="20"/>
                <w:lang w:eastAsia="zh-CN"/>
              </w:rPr>
            </w:pPr>
          </w:p>
          <w:p w14:paraId="43FD4549" w14:textId="77777777" w:rsidR="00AC3FBB" w:rsidRDefault="00AC3FBB" w:rsidP="00E121D2">
            <w:pPr>
              <w:pStyle w:val="Compact"/>
              <w:spacing w:before="0" w:after="0" w:line="276" w:lineRule="auto"/>
              <w:contextualSpacing/>
              <w:rPr>
                <w:sz w:val="20"/>
                <w:szCs w:val="20"/>
                <w:lang w:eastAsia="zh-CN"/>
              </w:rPr>
            </w:pPr>
          </w:p>
          <w:p w14:paraId="3585D3C0" w14:textId="77777777" w:rsidR="009A00E2" w:rsidRDefault="009A00E2" w:rsidP="00E121D2">
            <w:pPr>
              <w:pStyle w:val="Compact"/>
              <w:spacing w:before="0" w:after="0" w:line="276" w:lineRule="auto"/>
              <w:contextualSpacing/>
              <w:rPr>
                <w:sz w:val="20"/>
                <w:szCs w:val="20"/>
                <w:lang w:eastAsia="zh-CN"/>
              </w:rPr>
            </w:pPr>
          </w:p>
          <w:p w14:paraId="1CCD709F" w14:textId="65382239" w:rsidR="00AC3FBB" w:rsidRDefault="00AC3FBB" w:rsidP="00E121D2">
            <w:pPr>
              <w:pStyle w:val="Compact"/>
              <w:spacing w:before="0" w:after="0" w:line="276" w:lineRule="auto"/>
              <w:contextualSpacing/>
              <w:rPr>
                <w:sz w:val="20"/>
                <w:szCs w:val="20"/>
                <w:lang w:eastAsia="zh-CN"/>
              </w:rPr>
            </w:pPr>
            <w:r>
              <w:rPr>
                <w:rFonts w:hint="eastAsia"/>
                <w:sz w:val="20"/>
                <w:szCs w:val="20"/>
                <w:lang w:eastAsia="zh-CN"/>
              </w:rPr>
              <w:t>TRUE</w:t>
            </w:r>
          </w:p>
          <w:p w14:paraId="3BA1597F" w14:textId="77777777" w:rsidR="009A00E2" w:rsidRDefault="009A00E2" w:rsidP="00E121D2">
            <w:pPr>
              <w:pStyle w:val="Compact"/>
              <w:spacing w:before="0" w:after="0" w:line="276" w:lineRule="auto"/>
              <w:contextualSpacing/>
              <w:rPr>
                <w:sz w:val="20"/>
                <w:szCs w:val="20"/>
                <w:lang w:eastAsia="zh-CN"/>
              </w:rPr>
            </w:pPr>
          </w:p>
          <w:p w14:paraId="09A1FA36" w14:textId="77777777" w:rsidR="009A00E2" w:rsidRDefault="009A00E2" w:rsidP="00E121D2">
            <w:pPr>
              <w:pStyle w:val="Compact"/>
              <w:spacing w:before="0" w:after="0" w:line="276" w:lineRule="auto"/>
              <w:contextualSpacing/>
              <w:rPr>
                <w:sz w:val="20"/>
                <w:szCs w:val="20"/>
                <w:lang w:eastAsia="zh-CN"/>
              </w:rPr>
            </w:pPr>
          </w:p>
          <w:p w14:paraId="30C96B19" w14:textId="260894C7" w:rsidR="009A00E2" w:rsidRPr="00563DE7" w:rsidRDefault="009A00E2" w:rsidP="00E121D2">
            <w:pPr>
              <w:pStyle w:val="Compact"/>
              <w:spacing w:before="0" w:after="0" w:line="276" w:lineRule="auto"/>
              <w:contextualSpacing/>
              <w:rPr>
                <w:sz w:val="20"/>
                <w:szCs w:val="20"/>
                <w:lang w:eastAsia="zh-CN"/>
              </w:rPr>
            </w:pPr>
            <w:r>
              <w:rPr>
                <w:rFonts w:hint="eastAsia"/>
                <w:sz w:val="20"/>
                <w:szCs w:val="20"/>
                <w:lang w:eastAsia="zh-CN"/>
              </w:rPr>
              <w:t>TRUE</w:t>
            </w:r>
          </w:p>
        </w:tc>
        <w:tc>
          <w:tcPr>
            <w:tcW w:w="2808" w:type="dxa"/>
            <w:tcBorders>
              <w:bottom w:val="single" w:sz="4" w:space="0" w:color="auto"/>
            </w:tcBorders>
          </w:tcPr>
          <w:p w14:paraId="7D5EB324" w14:textId="372A0632" w:rsidR="005171BA" w:rsidRDefault="00FA570D" w:rsidP="00E121D2">
            <w:pPr>
              <w:pStyle w:val="Compact"/>
              <w:spacing w:before="0" w:after="0" w:line="276" w:lineRule="auto"/>
              <w:contextualSpacing/>
              <w:rPr>
                <w:sz w:val="20"/>
                <w:szCs w:val="20"/>
                <w:lang w:eastAsia="zh-CN"/>
              </w:rPr>
            </w:pPr>
            <w:r>
              <w:rPr>
                <w:rFonts w:hint="eastAsia"/>
                <w:sz w:val="20"/>
                <w:szCs w:val="20"/>
                <w:lang w:eastAsia="zh-CN"/>
              </w:rPr>
              <w:t>U.S.</w:t>
            </w:r>
            <w:r w:rsidR="005171BA">
              <w:rPr>
                <w:rFonts w:hint="eastAsia"/>
                <w:sz w:val="20"/>
                <w:szCs w:val="20"/>
                <w:lang w:eastAsia="zh-CN"/>
              </w:rPr>
              <w:t xml:space="preserve"> </w:t>
            </w:r>
            <w:r>
              <w:rPr>
                <w:rFonts w:hint="eastAsia"/>
                <w:sz w:val="20"/>
                <w:szCs w:val="20"/>
                <w:lang w:eastAsia="zh-CN"/>
              </w:rPr>
              <w:t>EPU</w:t>
            </w:r>
            <w:r w:rsidR="005171BA">
              <w:rPr>
                <w:rFonts w:hint="eastAsia"/>
                <w:sz w:val="20"/>
                <w:szCs w:val="20"/>
                <w:lang w:eastAsia="zh-CN"/>
              </w:rPr>
              <w:t xml:space="preserve"> Index, </w:t>
            </w:r>
            <w:r>
              <w:rPr>
                <w:rFonts w:hint="eastAsia"/>
                <w:sz w:val="20"/>
                <w:szCs w:val="20"/>
                <w:lang w:eastAsia="zh-CN"/>
              </w:rPr>
              <w:t xml:space="preserve">News-based, </w:t>
            </w:r>
            <w:r w:rsidR="005171BA">
              <w:rPr>
                <w:rFonts w:hint="eastAsia"/>
                <w:sz w:val="20"/>
                <w:szCs w:val="20"/>
                <w:lang w:eastAsia="zh-CN"/>
              </w:rPr>
              <w:t>Monthly,</w:t>
            </w:r>
          </w:p>
          <w:p w14:paraId="6F100B50" w14:textId="32A3EF19" w:rsidR="000417B7" w:rsidRDefault="005171BA" w:rsidP="00E121D2">
            <w:pPr>
              <w:pStyle w:val="Compact"/>
              <w:spacing w:before="0" w:after="0" w:line="276" w:lineRule="auto"/>
              <w:contextualSpacing/>
              <w:rPr>
                <w:sz w:val="20"/>
                <w:szCs w:val="20"/>
              </w:rPr>
            </w:pPr>
            <w:r w:rsidRPr="00E673F5">
              <w:rPr>
                <w:sz w:val="20"/>
                <w:szCs w:val="20"/>
              </w:rPr>
              <w:t>Baker et al. (2016)</w:t>
            </w:r>
          </w:p>
          <w:p w14:paraId="357FB1D8" w14:textId="77777777" w:rsidR="00FA570D" w:rsidRDefault="00FA570D" w:rsidP="00FA570D">
            <w:pPr>
              <w:pStyle w:val="Compact"/>
              <w:spacing w:before="0" w:after="0" w:line="276" w:lineRule="auto"/>
              <w:contextualSpacing/>
              <w:rPr>
                <w:sz w:val="20"/>
                <w:szCs w:val="20"/>
                <w:lang w:eastAsia="zh-CN"/>
              </w:rPr>
            </w:pPr>
            <w:hyperlink r:id="rId22" w:history="1">
              <w:r w:rsidRPr="005500BB">
                <w:rPr>
                  <w:rStyle w:val="Hyperlink"/>
                  <w:sz w:val="20"/>
                  <w:szCs w:val="20"/>
                  <w:lang w:eastAsia="zh-CN"/>
                </w:rPr>
                <w:t>https://www.policyuncertainty.com/us_monthly.html</w:t>
              </w:r>
            </w:hyperlink>
          </w:p>
          <w:p w14:paraId="42039942" w14:textId="0A075BD1" w:rsidR="00AC3FBB" w:rsidRDefault="00AC3FBB" w:rsidP="00E121D2">
            <w:pPr>
              <w:pStyle w:val="Compact"/>
              <w:spacing w:before="0" w:after="0" w:line="276" w:lineRule="auto"/>
              <w:contextualSpacing/>
              <w:rPr>
                <w:sz w:val="20"/>
                <w:szCs w:val="20"/>
                <w:lang w:eastAsia="zh-CN"/>
              </w:rPr>
            </w:pPr>
            <w:r>
              <w:rPr>
                <w:rFonts w:hint="eastAsia"/>
                <w:sz w:val="20"/>
                <w:szCs w:val="20"/>
                <w:lang w:eastAsia="zh-CN"/>
              </w:rPr>
              <w:t>U.S. Categorical EPU Index,</w:t>
            </w:r>
            <w:r w:rsidR="009A00E2">
              <w:rPr>
                <w:rFonts w:hint="eastAsia"/>
                <w:sz w:val="20"/>
                <w:szCs w:val="20"/>
                <w:lang w:eastAsia="zh-CN"/>
              </w:rPr>
              <w:t xml:space="preserve"> Regulation,</w:t>
            </w:r>
            <w:r w:rsidR="00FA570D">
              <w:rPr>
                <w:rFonts w:hint="eastAsia"/>
                <w:sz w:val="20"/>
                <w:szCs w:val="20"/>
                <w:lang w:eastAsia="zh-CN"/>
              </w:rPr>
              <w:t xml:space="preserve"> Monthly,</w:t>
            </w:r>
          </w:p>
          <w:p w14:paraId="6D112909" w14:textId="77777777" w:rsidR="00AC3FBB" w:rsidRDefault="00AC3FBB" w:rsidP="00E121D2">
            <w:pPr>
              <w:pStyle w:val="Compact"/>
              <w:spacing w:before="0" w:after="0" w:line="276" w:lineRule="auto"/>
              <w:contextualSpacing/>
              <w:rPr>
                <w:sz w:val="20"/>
                <w:szCs w:val="20"/>
                <w:lang w:eastAsia="zh-CN"/>
              </w:rPr>
            </w:pPr>
            <w:r>
              <w:rPr>
                <w:rFonts w:hint="eastAsia"/>
                <w:sz w:val="20"/>
                <w:szCs w:val="20"/>
                <w:lang w:eastAsia="zh-CN"/>
              </w:rPr>
              <w:t>Baker et al. (2016)</w:t>
            </w:r>
          </w:p>
          <w:p w14:paraId="34E603F0" w14:textId="1F1DBBEF" w:rsidR="00AC3FBB" w:rsidRDefault="00AC3FBB" w:rsidP="00E121D2">
            <w:pPr>
              <w:pStyle w:val="Compact"/>
              <w:spacing w:before="0" w:after="0" w:line="276" w:lineRule="auto"/>
              <w:contextualSpacing/>
              <w:rPr>
                <w:sz w:val="20"/>
                <w:szCs w:val="20"/>
                <w:lang w:eastAsia="zh-CN"/>
              </w:rPr>
            </w:pPr>
            <w:hyperlink r:id="rId23" w:history="1">
              <w:r w:rsidRPr="005500BB">
                <w:rPr>
                  <w:rStyle w:val="Hyperlink"/>
                  <w:sz w:val="20"/>
                  <w:szCs w:val="20"/>
                  <w:lang w:eastAsia="zh-CN"/>
                </w:rPr>
                <w:t>https://www.policyuncertainty.com/us_monthly.html</w:t>
              </w:r>
            </w:hyperlink>
          </w:p>
          <w:p w14:paraId="4482A7D8" w14:textId="77777777" w:rsidR="00AC3FBB" w:rsidRDefault="009A00E2" w:rsidP="00E121D2">
            <w:pPr>
              <w:pStyle w:val="Compact"/>
              <w:spacing w:before="0" w:after="0" w:line="276" w:lineRule="auto"/>
              <w:contextualSpacing/>
              <w:rPr>
                <w:sz w:val="20"/>
                <w:szCs w:val="20"/>
                <w:lang w:eastAsia="zh-CN"/>
              </w:rPr>
            </w:pPr>
            <w:r w:rsidRPr="009A00E2">
              <w:rPr>
                <w:sz w:val="20"/>
                <w:szCs w:val="20"/>
                <w:lang w:eastAsia="zh-CN"/>
              </w:rPr>
              <w:t>Gavriilidis (2021)</w:t>
            </w:r>
          </w:p>
          <w:p w14:paraId="6952C905" w14:textId="1A4C0923" w:rsidR="009A00E2" w:rsidRDefault="009A00E2" w:rsidP="00E121D2">
            <w:pPr>
              <w:pStyle w:val="Compact"/>
              <w:spacing w:before="0" w:after="0" w:line="276" w:lineRule="auto"/>
              <w:contextualSpacing/>
              <w:rPr>
                <w:sz w:val="20"/>
                <w:szCs w:val="20"/>
                <w:lang w:eastAsia="zh-CN"/>
              </w:rPr>
            </w:pPr>
            <w:hyperlink r:id="rId24" w:history="1">
              <w:r w:rsidRPr="005500BB">
                <w:rPr>
                  <w:rStyle w:val="Hyperlink"/>
                  <w:sz w:val="20"/>
                  <w:szCs w:val="20"/>
                  <w:lang w:eastAsia="zh-CN"/>
                </w:rPr>
                <w:t>https://www.policyuncertainty.com/climate_uncertainty.html</w:t>
              </w:r>
            </w:hyperlink>
          </w:p>
          <w:p w14:paraId="33D3D569" w14:textId="000B9625" w:rsidR="009A00E2" w:rsidRDefault="00F73C73" w:rsidP="00E121D2">
            <w:pPr>
              <w:pStyle w:val="Compact"/>
              <w:spacing w:before="0" w:after="0" w:line="276" w:lineRule="auto"/>
              <w:contextualSpacing/>
              <w:rPr>
                <w:sz w:val="20"/>
                <w:szCs w:val="20"/>
              </w:rPr>
            </w:pPr>
            <w:r>
              <w:rPr>
                <w:rFonts w:hint="eastAsia"/>
                <w:sz w:val="20"/>
                <w:szCs w:val="20"/>
                <w:lang w:eastAsia="zh-CN"/>
              </w:rPr>
              <w:t>Geopolitical Risk</w:t>
            </w:r>
            <w:r w:rsidR="00BC0FA6">
              <w:rPr>
                <w:rFonts w:hint="eastAsia"/>
                <w:sz w:val="20"/>
                <w:szCs w:val="20"/>
                <w:lang w:eastAsia="zh-CN"/>
              </w:rPr>
              <w:t xml:space="preserve"> (GPR), Monthly, </w:t>
            </w:r>
            <w:r w:rsidR="009A00E2" w:rsidRPr="00E673F5">
              <w:rPr>
                <w:sz w:val="20"/>
                <w:szCs w:val="20"/>
              </w:rPr>
              <w:t>Caldara and Iacoviello (2022)</w:t>
            </w:r>
          </w:p>
          <w:p w14:paraId="4D08BEA8" w14:textId="1221ACB7" w:rsidR="009A00E2" w:rsidRDefault="009A00E2" w:rsidP="00E121D2">
            <w:pPr>
              <w:pStyle w:val="Compact"/>
              <w:spacing w:before="0" w:after="0" w:line="276" w:lineRule="auto"/>
              <w:contextualSpacing/>
              <w:rPr>
                <w:sz w:val="20"/>
                <w:szCs w:val="20"/>
                <w:lang w:eastAsia="zh-CN"/>
              </w:rPr>
            </w:pPr>
            <w:hyperlink r:id="rId25" w:history="1">
              <w:r w:rsidRPr="005500BB">
                <w:rPr>
                  <w:rStyle w:val="Hyperlink"/>
                  <w:sz w:val="20"/>
                  <w:szCs w:val="20"/>
                  <w:lang w:eastAsia="zh-CN"/>
                </w:rPr>
                <w:t>https://www.matteoiacoviello.com/gpr.htm</w:t>
              </w:r>
            </w:hyperlink>
          </w:p>
          <w:p w14:paraId="3A1E7706" w14:textId="6E8B385D" w:rsidR="009A00E2" w:rsidRPr="00E673F5" w:rsidRDefault="009A00E2" w:rsidP="00E121D2">
            <w:pPr>
              <w:pStyle w:val="Compact"/>
              <w:spacing w:before="0" w:after="0" w:line="276" w:lineRule="auto"/>
              <w:contextualSpacing/>
              <w:rPr>
                <w:sz w:val="20"/>
                <w:szCs w:val="20"/>
                <w:lang w:eastAsia="zh-CN"/>
              </w:rPr>
            </w:pPr>
          </w:p>
        </w:tc>
      </w:tr>
      <w:tr w:rsidR="000417B7" w:rsidRPr="00E673F5" w14:paraId="42B5BCB0" w14:textId="77777777" w:rsidTr="000417B7">
        <w:tc>
          <w:tcPr>
            <w:tcW w:w="3078" w:type="dxa"/>
            <w:tcBorders>
              <w:bottom w:val="single" w:sz="4" w:space="0" w:color="auto"/>
            </w:tcBorders>
          </w:tcPr>
          <w:p w14:paraId="6010FA7B" w14:textId="06C3266B" w:rsidR="00AC3FBB" w:rsidRPr="00563DE7" w:rsidRDefault="00AC3FBB" w:rsidP="00E121D2">
            <w:pPr>
              <w:pStyle w:val="Compact"/>
              <w:spacing w:before="0" w:after="0" w:line="276" w:lineRule="auto"/>
              <w:contextualSpacing/>
              <w:rPr>
                <w:sz w:val="20"/>
                <w:szCs w:val="20"/>
                <w:lang w:eastAsia="zh-CN"/>
              </w:rPr>
            </w:pPr>
          </w:p>
        </w:tc>
        <w:tc>
          <w:tcPr>
            <w:tcW w:w="3420" w:type="dxa"/>
            <w:tcBorders>
              <w:bottom w:val="single" w:sz="4" w:space="0" w:color="auto"/>
            </w:tcBorders>
          </w:tcPr>
          <w:p w14:paraId="066630C8" w14:textId="371A7306" w:rsidR="000417B7" w:rsidRPr="00563DE7" w:rsidRDefault="000417B7" w:rsidP="00E121D2">
            <w:pPr>
              <w:pStyle w:val="Compact"/>
              <w:spacing w:before="0" w:after="0" w:line="276" w:lineRule="auto"/>
              <w:contextualSpacing/>
              <w:rPr>
                <w:sz w:val="20"/>
                <w:szCs w:val="20"/>
              </w:rPr>
            </w:pPr>
          </w:p>
        </w:tc>
        <w:tc>
          <w:tcPr>
            <w:tcW w:w="2700" w:type="dxa"/>
            <w:tcBorders>
              <w:bottom w:val="single" w:sz="4" w:space="0" w:color="auto"/>
            </w:tcBorders>
          </w:tcPr>
          <w:p w14:paraId="196A11F2" w14:textId="5122977D" w:rsidR="000417B7" w:rsidRPr="00563DE7" w:rsidRDefault="000417B7" w:rsidP="00E121D2">
            <w:pPr>
              <w:pStyle w:val="Compact"/>
              <w:spacing w:before="0" w:after="0" w:line="276" w:lineRule="auto"/>
              <w:contextualSpacing/>
              <w:rPr>
                <w:sz w:val="20"/>
                <w:szCs w:val="20"/>
              </w:rPr>
            </w:pPr>
          </w:p>
        </w:tc>
        <w:tc>
          <w:tcPr>
            <w:tcW w:w="1170" w:type="dxa"/>
            <w:tcBorders>
              <w:bottom w:val="single" w:sz="4" w:space="0" w:color="auto"/>
            </w:tcBorders>
          </w:tcPr>
          <w:p w14:paraId="153F279D" w14:textId="1658362A" w:rsidR="000417B7" w:rsidRPr="00563DE7" w:rsidRDefault="000417B7" w:rsidP="00E121D2">
            <w:pPr>
              <w:pStyle w:val="Compact"/>
              <w:spacing w:before="0" w:after="0" w:line="276" w:lineRule="auto"/>
              <w:contextualSpacing/>
              <w:rPr>
                <w:sz w:val="20"/>
                <w:szCs w:val="20"/>
              </w:rPr>
            </w:pPr>
          </w:p>
        </w:tc>
        <w:tc>
          <w:tcPr>
            <w:tcW w:w="2808" w:type="dxa"/>
            <w:tcBorders>
              <w:bottom w:val="single" w:sz="4" w:space="0" w:color="auto"/>
            </w:tcBorders>
          </w:tcPr>
          <w:p w14:paraId="32DF7C71" w14:textId="2347D8E3" w:rsidR="000417B7" w:rsidRPr="00E673F5" w:rsidRDefault="000417B7" w:rsidP="00E121D2">
            <w:pPr>
              <w:pStyle w:val="Compact"/>
              <w:spacing w:before="0" w:after="0" w:line="276" w:lineRule="auto"/>
              <w:contextualSpacing/>
              <w:rPr>
                <w:sz w:val="20"/>
                <w:szCs w:val="20"/>
              </w:rPr>
            </w:pPr>
          </w:p>
        </w:tc>
      </w:tr>
    </w:tbl>
    <w:p w14:paraId="0753C3F0" w14:textId="0F601DA5" w:rsidR="00002BAB" w:rsidRPr="00EB6BEC" w:rsidRDefault="00AC3FBB">
      <w:pPr>
        <w:rPr>
          <w:sz w:val="18"/>
          <w:szCs w:val="18"/>
        </w:rPr>
      </w:pPr>
      <w:r w:rsidRPr="00EB6BEC">
        <w:rPr>
          <w:rFonts w:hint="eastAsia"/>
          <w:sz w:val="18"/>
          <w:szCs w:val="18"/>
          <w:lang w:eastAsia="zh-CN"/>
        </w:rPr>
        <w:t xml:space="preserve">Note: </w:t>
      </w:r>
      <w:r w:rsidR="00A37247" w:rsidRPr="00A37247">
        <w:rPr>
          <w:sz w:val="18"/>
          <w:szCs w:val="18"/>
          <w:lang w:eastAsia="zh-CN"/>
        </w:rPr>
        <w:t>The dataset on Industrial Production and Capacity Utilization has been revised by the Board of the Federal Reserve System since the original data was accessed. As a result, the current version of the release, available via the provided link, may show slight differences in the data on Industrial Production and U.S. drilling. Similarly, the dataset on the Index of Global Real Economic Activity, as proposed by Kilian (2009), has undergone minor revisions by the author since the original data was accessed. However, these differences are negligible and do not impact the main results of the paper.</w:t>
      </w:r>
    </w:p>
    <w:sectPr w:rsidR="00002BAB" w:rsidRPr="00EB6BEC" w:rsidSect="00FC595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AB5A0" w14:textId="77777777" w:rsidR="00D359DD" w:rsidRDefault="00D359DD" w:rsidP="00FC5952">
      <w:pPr>
        <w:spacing w:after="0"/>
      </w:pPr>
      <w:r>
        <w:separator/>
      </w:r>
    </w:p>
  </w:endnote>
  <w:endnote w:type="continuationSeparator" w:id="0">
    <w:p w14:paraId="20DDF4C0" w14:textId="77777777" w:rsidR="00D359DD" w:rsidRDefault="00D359DD" w:rsidP="00FC59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EB893" w14:textId="77777777" w:rsidR="00D359DD" w:rsidRDefault="00D359DD" w:rsidP="00FC5952">
      <w:pPr>
        <w:spacing w:after="0"/>
      </w:pPr>
      <w:r>
        <w:separator/>
      </w:r>
    </w:p>
  </w:footnote>
  <w:footnote w:type="continuationSeparator" w:id="0">
    <w:p w14:paraId="26BE4B0C" w14:textId="77777777" w:rsidR="00D359DD" w:rsidRDefault="00D359DD" w:rsidP="00FC59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52"/>
    <w:rsid w:val="00002BAB"/>
    <w:rsid w:val="00002C64"/>
    <w:rsid w:val="000417B7"/>
    <w:rsid w:val="003045AF"/>
    <w:rsid w:val="003C02B5"/>
    <w:rsid w:val="005038B6"/>
    <w:rsid w:val="005171BA"/>
    <w:rsid w:val="005F2A9B"/>
    <w:rsid w:val="00692673"/>
    <w:rsid w:val="00694D2E"/>
    <w:rsid w:val="007B41FA"/>
    <w:rsid w:val="008416DF"/>
    <w:rsid w:val="0085113F"/>
    <w:rsid w:val="0088217B"/>
    <w:rsid w:val="00891DFC"/>
    <w:rsid w:val="008C486C"/>
    <w:rsid w:val="00924730"/>
    <w:rsid w:val="009A00E2"/>
    <w:rsid w:val="00A37247"/>
    <w:rsid w:val="00AC3FBB"/>
    <w:rsid w:val="00B125AE"/>
    <w:rsid w:val="00BC0FA6"/>
    <w:rsid w:val="00CB0D2A"/>
    <w:rsid w:val="00D359DD"/>
    <w:rsid w:val="00D919C3"/>
    <w:rsid w:val="00D95082"/>
    <w:rsid w:val="00DA6D6B"/>
    <w:rsid w:val="00EB6BEC"/>
    <w:rsid w:val="00F6069D"/>
    <w:rsid w:val="00F73C73"/>
    <w:rsid w:val="00FA570D"/>
    <w:rsid w:val="00FC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D2CF"/>
  <w15:chartTrackingRefBased/>
  <w15:docId w15:val="{6A147E7F-67D2-4987-B29B-1ECFA486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52"/>
    <w:pPr>
      <w:spacing w:after="200" w:line="240" w:lineRule="auto"/>
    </w:pPr>
    <w:rPr>
      <w:rFonts w:eastAsia="SimSun"/>
      <w:kern w:val="0"/>
      <w:sz w:val="24"/>
      <w:szCs w:val="24"/>
      <w:lang w:eastAsia="en-US"/>
      <w14:ligatures w14:val="none"/>
    </w:rPr>
  </w:style>
  <w:style w:type="paragraph" w:styleId="Heading1">
    <w:name w:val="heading 1"/>
    <w:basedOn w:val="Normal"/>
    <w:next w:val="Normal"/>
    <w:link w:val="Heading1Char"/>
    <w:uiPriority w:val="9"/>
    <w:qFormat/>
    <w:rsid w:val="00FC595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FC595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FC5952"/>
    <w:pPr>
      <w:keepNext/>
      <w:keepLines/>
      <w:spacing w:before="160" w:after="80" w:line="259" w:lineRule="auto"/>
      <w:outlineLvl w:val="2"/>
    </w:pPr>
    <w:rPr>
      <w:rFonts w:eastAsiaTheme="majorEastAsia" w:cstheme="majorBidi"/>
      <w:color w:val="2F5496"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FC5952"/>
    <w:pPr>
      <w:keepNext/>
      <w:keepLines/>
      <w:spacing w:before="80" w:after="40" w:line="259" w:lineRule="auto"/>
      <w:outlineLvl w:val="3"/>
    </w:pPr>
    <w:rPr>
      <w:rFonts w:eastAsiaTheme="majorEastAsia" w:cstheme="majorBidi"/>
      <w:i/>
      <w:iCs/>
      <w:color w:val="2F5496" w:themeColor="accent1" w:themeShade="BF"/>
      <w:kern w:val="2"/>
      <w:sz w:val="22"/>
      <w:szCs w:val="22"/>
      <w:lang w:eastAsia="zh-CN"/>
      <w14:ligatures w14:val="standardContextual"/>
    </w:rPr>
  </w:style>
  <w:style w:type="paragraph" w:styleId="Heading5">
    <w:name w:val="heading 5"/>
    <w:basedOn w:val="Normal"/>
    <w:next w:val="Normal"/>
    <w:link w:val="Heading5Char"/>
    <w:uiPriority w:val="9"/>
    <w:semiHidden/>
    <w:unhideWhenUsed/>
    <w:qFormat/>
    <w:rsid w:val="00FC5952"/>
    <w:pPr>
      <w:keepNext/>
      <w:keepLines/>
      <w:spacing w:before="80" w:after="40" w:line="259" w:lineRule="auto"/>
      <w:outlineLvl w:val="4"/>
    </w:pPr>
    <w:rPr>
      <w:rFonts w:eastAsiaTheme="majorEastAsia" w:cstheme="majorBidi"/>
      <w:color w:val="2F5496" w:themeColor="accent1" w:themeShade="BF"/>
      <w:kern w:val="2"/>
      <w:sz w:val="22"/>
      <w:szCs w:val="22"/>
      <w:lang w:eastAsia="zh-CN"/>
      <w14:ligatures w14:val="standardContextual"/>
    </w:rPr>
  </w:style>
  <w:style w:type="paragraph" w:styleId="Heading6">
    <w:name w:val="heading 6"/>
    <w:basedOn w:val="Normal"/>
    <w:next w:val="Normal"/>
    <w:link w:val="Heading6Char"/>
    <w:uiPriority w:val="9"/>
    <w:semiHidden/>
    <w:unhideWhenUsed/>
    <w:qFormat/>
    <w:rsid w:val="00FC5952"/>
    <w:pPr>
      <w:keepNext/>
      <w:keepLines/>
      <w:spacing w:before="40" w:after="0" w:line="259" w:lineRule="auto"/>
      <w:outlineLvl w:val="5"/>
    </w:pPr>
    <w:rPr>
      <w:rFonts w:eastAsiaTheme="majorEastAsia" w:cstheme="majorBidi"/>
      <w:i/>
      <w:iCs/>
      <w:color w:val="595959" w:themeColor="text1" w:themeTint="A6"/>
      <w:kern w:val="2"/>
      <w:sz w:val="22"/>
      <w:szCs w:val="22"/>
      <w:lang w:eastAsia="zh-CN"/>
      <w14:ligatures w14:val="standardContextual"/>
    </w:rPr>
  </w:style>
  <w:style w:type="paragraph" w:styleId="Heading7">
    <w:name w:val="heading 7"/>
    <w:basedOn w:val="Normal"/>
    <w:next w:val="Normal"/>
    <w:link w:val="Heading7Char"/>
    <w:uiPriority w:val="9"/>
    <w:semiHidden/>
    <w:unhideWhenUsed/>
    <w:qFormat/>
    <w:rsid w:val="00FC5952"/>
    <w:pPr>
      <w:keepNext/>
      <w:keepLines/>
      <w:spacing w:before="40" w:after="0" w:line="259" w:lineRule="auto"/>
      <w:outlineLvl w:val="6"/>
    </w:pPr>
    <w:rPr>
      <w:rFonts w:eastAsiaTheme="majorEastAsia" w:cstheme="majorBidi"/>
      <w:color w:val="595959" w:themeColor="text1" w:themeTint="A6"/>
      <w:kern w:val="2"/>
      <w:sz w:val="22"/>
      <w:szCs w:val="22"/>
      <w:lang w:eastAsia="zh-CN"/>
      <w14:ligatures w14:val="standardContextual"/>
    </w:rPr>
  </w:style>
  <w:style w:type="paragraph" w:styleId="Heading8">
    <w:name w:val="heading 8"/>
    <w:basedOn w:val="Normal"/>
    <w:next w:val="Normal"/>
    <w:link w:val="Heading8Char"/>
    <w:uiPriority w:val="9"/>
    <w:semiHidden/>
    <w:unhideWhenUsed/>
    <w:qFormat/>
    <w:rsid w:val="00FC5952"/>
    <w:pPr>
      <w:keepNext/>
      <w:keepLines/>
      <w:spacing w:after="0" w:line="259" w:lineRule="auto"/>
      <w:outlineLvl w:val="7"/>
    </w:pPr>
    <w:rPr>
      <w:rFonts w:eastAsiaTheme="majorEastAsia" w:cstheme="majorBidi"/>
      <w:i/>
      <w:iCs/>
      <w:color w:val="272727" w:themeColor="text1" w:themeTint="D8"/>
      <w:kern w:val="2"/>
      <w:sz w:val="22"/>
      <w:szCs w:val="22"/>
      <w:lang w:eastAsia="zh-CN"/>
      <w14:ligatures w14:val="standardContextual"/>
    </w:rPr>
  </w:style>
  <w:style w:type="paragraph" w:styleId="Heading9">
    <w:name w:val="heading 9"/>
    <w:basedOn w:val="Normal"/>
    <w:next w:val="Normal"/>
    <w:link w:val="Heading9Char"/>
    <w:uiPriority w:val="9"/>
    <w:semiHidden/>
    <w:unhideWhenUsed/>
    <w:qFormat/>
    <w:rsid w:val="00FC5952"/>
    <w:pPr>
      <w:keepNext/>
      <w:keepLines/>
      <w:spacing w:after="0" w:line="259" w:lineRule="auto"/>
      <w:outlineLvl w:val="8"/>
    </w:pPr>
    <w:rPr>
      <w:rFonts w:eastAsiaTheme="majorEastAsia" w:cstheme="majorBidi"/>
      <w:color w:val="272727" w:themeColor="text1" w:themeTint="D8"/>
      <w:kern w:val="2"/>
      <w:sz w:val="22"/>
      <w:szCs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952"/>
    <w:rPr>
      <w:rFonts w:eastAsiaTheme="majorEastAsia" w:cstheme="majorBidi"/>
      <w:color w:val="272727" w:themeColor="text1" w:themeTint="D8"/>
    </w:rPr>
  </w:style>
  <w:style w:type="paragraph" w:styleId="Title">
    <w:name w:val="Title"/>
    <w:basedOn w:val="Normal"/>
    <w:next w:val="Normal"/>
    <w:link w:val="TitleChar"/>
    <w:uiPriority w:val="10"/>
    <w:qFormat/>
    <w:rsid w:val="00FC5952"/>
    <w:pPr>
      <w:spacing w:after="80"/>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FC5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952"/>
    <w:pPr>
      <w:numPr>
        <w:ilvl w:val="1"/>
      </w:numPr>
      <w:spacing w:after="160" w:line="259" w:lineRule="auto"/>
    </w:pPr>
    <w:rPr>
      <w:rFonts w:eastAsiaTheme="majorEastAsia"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FC5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952"/>
    <w:pPr>
      <w:spacing w:before="160" w:after="160" w:line="259" w:lineRule="auto"/>
      <w:jc w:val="center"/>
    </w:pPr>
    <w:rPr>
      <w:rFonts w:eastAsiaTheme="minorEastAsia"/>
      <w:i/>
      <w:iCs/>
      <w:color w:val="404040" w:themeColor="text1" w:themeTint="BF"/>
      <w:kern w:val="2"/>
      <w:sz w:val="22"/>
      <w:szCs w:val="22"/>
      <w:lang w:eastAsia="zh-CN"/>
      <w14:ligatures w14:val="standardContextual"/>
    </w:rPr>
  </w:style>
  <w:style w:type="character" w:customStyle="1" w:styleId="QuoteChar">
    <w:name w:val="Quote Char"/>
    <w:basedOn w:val="DefaultParagraphFont"/>
    <w:link w:val="Quote"/>
    <w:uiPriority w:val="29"/>
    <w:rsid w:val="00FC5952"/>
    <w:rPr>
      <w:i/>
      <w:iCs/>
      <w:color w:val="404040" w:themeColor="text1" w:themeTint="BF"/>
    </w:rPr>
  </w:style>
  <w:style w:type="paragraph" w:styleId="ListParagraph">
    <w:name w:val="List Paragraph"/>
    <w:basedOn w:val="Normal"/>
    <w:uiPriority w:val="34"/>
    <w:qFormat/>
    <w:rsid w:val="00FC5952"/>
    <w:pPr>
      <w:spacing w:after="160" w:line="259" w:lineRule="auto"/>
      <w:ind w:left="720"/>
      <w:contextualSpacing/>
    </w:pPr>
    <w:rPr>
      <w:rFonts w:eastAsiaTheme="minorEastAsia"/>
      <w:kern w:val="2"/>
      <w:sz w:val="22"/>
      <w:szCs w:val="22"/>
      <w:lang w:eastAsia="zh-CN"/>
      <w14:ligatures w14:val="standardContextual"/>
    </w:rPr>
  </w:style>
  <w:style w:type="character" w:styleId="IntenseEmphasis">
    <w:name w:val="Intense Emphasis"/>
    <w:basedOn w:val="DefaultParagraphFont"/>
    <w:uiPriority w:val="21"/>
    <w:qFormat/>
    <w:rsid w:val="00FC5952"/>
    <w:rPr>
      <w:i/>
      <w:iCs/>
      <w:color w:val="2F5496" w:themeColor="accent1" w:themeShade="BF"/>
    </w:rPr>
  </w:style>
  <w:style w:type="paragraph" w:styleId="IntenseQuote">
    <w:name w:val="Intense Quote"/>
    <w:basedOn w:val="Normal"/>
    <w:next w:val="Normal"/>
    <w:link w:val="IntenseQuoteChar"/>
    <w:uiPriority w:val="30"/>
    <w:qFormat/>
    <w:rsid w:val="00FC595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EastAsia"/>
      <w:i/>
      <w:iCs/>
      <w:color w:val="2F5496" w:themeColor="accent1" w:themeShade="BF"/>
      <w:kern w:val="2"/>
      <w:sz w:val="22"/>
      <w:szCs w:val="22"/>
      <w:lang w:eastAsia="zh-CN"/>
      <w14:ligatures w14:val="standardContextual"/>
    </w:rPr>
  </w:style>
  <w:style w:type="character" w:customStyle="1" w:styleId="IntenseQuoteChar">
    <w:name w:val="Intense Quote Char"/>
    <w:basedOn w:val="DefaultParagraphFont"/>
    <w:link w:val="IntenseQuote"/>
    <w:uiPriority w:val="30"/>
    <w:rsid w:val="00FC5952"/>
    <w:rPr>
      <w:i/>
      <w:iCs/>
      <w:color w:val="2F5496" w:themeColor="accent1" w:themeShade="BF"/>
    </w:rPr>
  </w:style>
  <w:style w:type="character" w:styleId="IntenseReference">
    <w:name w:val="Intense Reference"/>
    <w:basedOn w:val="DefaultParagraphFont"/>
    <w:uiPriority w:val="32"/>
    <w:qFormat/>
    <w:rsid w:val="00FC5952"/>
    <w:rPr>
      <w:b/>
      <w:bCs/>
      <w:smallCaps/>
      <w:color w:val="2F5496" w:themeColor="accent1" w:themeShade="BF"/>
      <w:spacing w:val="5"/>
    </w:rPr>
  </w:style>
  <w:style w:type="paragraph" w:customStyle="1" w:styleId="Compact">
    <w:name w:val="Compact"/>
    <w:basedOn w:val="BodyText"/>
    <w:qFormat/>
    <w:rsid w:val="00FC5952"/>
    <w:pPr>
      <w:spacing w:before="36" w:after="36"/>
    </w:pPr>
  </w:style>
  <w:style w:type="table" w:customStyle="1" w:styleId="Table">
    <w:name w:val="Table"/>
    <w:semiHidden/>
    <w:unhideWhenUsed/>
    <w:qFormat/>
    <w:rsid w:val="00FC5952"/>
    <w:pPr>
      <w:spacing w:after="200" w:line="240" w:lineRule="auto"/>
    </w:pPr>
    <w:rPr>
      <w:rFonts w:eastAsia="SimSun"/>
      <w:kern w:val="0"/>
      <w:sz w:val="24"/>
      <w:szCs w:val="24"/>
      <w:lang w:eastAsia="en-US"/>
      <w14:ligatures w14:val="none"/>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FC5952"/>
    <w:pPr>
      <w:spacing w:after="120"/>
    </w:pPr>
  </w:style>
  <w:style w:type="character" w:customStyle="1" w:styleId="BodyTextChar">
    <w:name w:val="Body Text Char"/>
    <w:basedOn w:val="DefaultParagraphFont"/>
    <w:link w:val="BodyText"/>
    <w:uiPriority w:val="99"/>
    <w:semiHidden/>
    <w:rsid w:val="00FC5952"/>
    <w:rPr>
      <w:rFonts w:eastAsia="SimSun"/>
      <w:kern w:val="0"/>
      <w:sz w:val="24"/>
      <w:szCs w:val="24"/>
      <w:lang w:eastAsia="en-US"/>
      <w14:ligatures w14:val="none"/>
    </w:rPr>
  </w:style>
  <w:style w:type="character" w:styleId="Hyperlink">
    <w:name w:val="Hyperlink"/>
    <w:basedOn w:val="DefaultParagraphFont"/>
    <w:uiPriority w:val="99"/>
    <w:unhideWhenUsed/>
    <w:rsid w:val="00FC5952"/>
    <w:rPr>
      <w:color w:val="0563C1" w:themeColor="hyperlink"/>
      <w:u w:val="single"/>
    </w:rPr>
  </w:style>
  <w:style w:type="character" w:styleId="UnresolvedMention">
    <w:name w:val="Unresolved Mention"/>
    <w:basedOn w:val="DefaultParagraphFont"/>
    <w:uiPriority w:val="99"/>
    <w:semiHidden/>
    <w:unhideWhenUsed/>
    <w:rsid w:val="00FC5952"/>
    <w:rPr>
      <w:color w:val="605E5C"/>
      <w:shd w:val="clear" w:color="auto" w:fill="E1DFDD"/>
    </w:rPr>
  </w:style>
  <w:style w:type="character" w:styleId="FollowedHyperlink">
    <w:name w:val="FollowedHyperlink"/>
    <w:basedOn w:val="DefaultParagraphFont"/>
    <w:uiPriority w:val="99"/>
    <w:semiHidden/>
    <w:unhideWhenUsed/>
    <w:rsid w:val="00694D2E"/>
    <w:rPr>
      <w:color w:val="954F72" w:themeColor="followedHyperlink"/>
      <w:u w:val="single"/>
    </w:rPr>
  </w:style>
  <w:style w:type="paragraph" w:styleId="FootnoteText">
    <w:name w:val="footnote text"/>
    <w:basedOn w:val="Normal"/>
    <w:link w:val="FootnoteTextChar"/>
    <w:uiPriority w:val="99"/>
    <w:semiHidden/>
    <w:unhideWhenUsed/>
    <w:rsid w:val="00CB0D2A"/>
    <w:pPr>
      <w:spacing w:after="0"/>
    </w:pPr>
    <w:rPr>
      <w:sz w:val="20"/>
      <w:szCs w:val="20"/>
    </w:rPr>
  </w:style>
  <w:style w:type="character" w:customStyle="1" w:styleId="FootnoteTextChar">
    <w:name w:val="Footnote Text Char"/>
    <w:basedOn w:val="DefaultParagraphFont"/>
    <w:link w:val="FootnoteText"/>
    <w:uiPriority w:val="99"/>
    <w:semiHidden/>
    <w:rsid w:val="00CB0D2A"/>
    <w:rPr>
      <w:rFonts w:eastAsia="SimSun"/>
      <w:kern w:val="0"/>
      <w:sz w:val="20"/>
      <w:szCs w:val="20"/>
      <w:lang w:eastAsia="en-US"/>
      <w14:ligatures w14:val="none"/>
    </w:rPr>
  </w:style>
  <w:style w:type="character" w:styleId="FootnoteReference">
    <w:name w:val="footnote reference"/>
    <w:basedOn w:val="DefaultParagraphFont"/>
    <w:uiPriority w:val="99"/>
    <w:semiHidden/>
    <w:unhideWhenUsed/>
    <w:rsid w:val="00CB0D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0697">
      <w:bodyDiv w:val="1"/>
      <w:marLeft w:val="0"/>
      <w:marRight w:val="0"/>
      <w:marTop w:val="0"/>
      <w:marBottom w:val="0"/>
      <w:divBdr>
        <w:top w:val="none" w:sz="0" w:space="0" w:color="auto"/>
        <w:left w:val="none" w:sz="0" w:space="0" w:color="auto"/>
        <w:bottom w:val="none" w:sz="0" w:space="0" w:color="auto"/>
        <w:right w:val="none" w:sz="0" w:space="0" w:color="auto"/>
      </w:divBdr>
    </w:div>
    <w:div w:id="812793820">
      <w:bodyDiv w:val="1"/>
      <w:marLeft w:val="0"/>
      <w:marRight w:val="0"/>
      <w:marTop w:val="0"/>
      <w:marBottom w:val="0"/>
      <w:divBdr>
        <w:top w:val="none" w:sz="0" w:space="0" w:color="auto"/>
        <w:left w:val="none" w:sz="0" w:space="0" w:color="auto"/>
        <w:bottom w:val="none" w:sz="0" w:space="0" w:color="auto"/>
        <w:right w:val="none" w:sz="0" w:space="0" w:color="auto"/>
      </w:divBdr>
    </w:div>
    <w:div w:id="16801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GSPC/history/?frequency=1mo&amp;period1=347155200&amp;period2=1640908800" TargetMode="External"/><Relationship Id="rId13" Type="http://schemas.openxmlformats.org/officeDocument/2006/relationships/hyperlink" Target="https://www.eia.gov/dnav/pet/hist/LeafHandler.ashx?n=PET&amp;s=MCRFPUS1&amp;f=M" TargetMode="External"/><Relationship Id="rId18" Type="http://schemas.openxmlformats.org/officeDocument/2006/relationships/hyperlink" Target="https://fred.stlouisfed.org/series/NYU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ydneyludvigson.com/macro-and-financial-uncertainty-indexes" TargetMode="External"/><Relationship Id="rId7" Type="http://schemas.openxmlformats.org/officeDocument/2006/relationships/hyperlink" Target="https://fred.stlouisfed.org/series/WTISPLC" TargetMode="External"/><Relationship Id="rId12" Type="http://schemas.openxmlformats.org/officeDocument/2006/relationships/hyperlink" Target="https://fred.stlouisfed.org/series/IPN213111S" TargetMode="External"/><Relationship Id="rId17" Type="http://schemas.openxmlformats.org/officeDocument/2006/relationships/hyperlink" Target="https://fred.stlouisfed.org/series/TXUR" TargetMode="External"/><Relationship Id="rId25" Type="http://schemas.openxmlformats.org/officeDocument/2006/relationships/hyperlink" Target="https://www.matteoiacoviello.com/gpr.htm" TargetMode="External"/><Relationship Id="rId2" Type="http://schemas.openxmlformats.org/officeDocument/2006/relationships/styles" Target="styles.xml"/><Relationship Id="rId16" Type="http://schemas.openxmlformats.org/officeDocument/2006/relationships/hyperlink" Target="https://fred.stlouisfed.org/series/CAUR" TargetMode="External"/><Relationship Id="rId20" Type="http://schemas.openxmlformats.org/officeDocument/2006/relationships/hyperlink" Target="https://history.house.gov/Institution/Presidents-Coinciding/Party-Governmen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red.stlouisfed.org/series/INDPRO" TargetMode="External"/><Relationship Id="rId24" Type="http://schemas.openxmlformats.org/officeDocument/2006/relationships/hyperlink" Target="https://www.policyuncertainty.com/climate_uncertainty.html" TargetMode="External"/><Relationship Id="rId5" Type="http://schemas.openxmlformats.org/officeDocument/2006/relationships/footnotes" Target="footnotes.xml"/><Relationship Id="rId15" Type="http://schemas.openxmlformats.org/officeDocument/2006/relationships/hyperlink" Target="https://www.dallasfed.org/research/igrea" TargetMode="External"/><Relationship Id="rId23" Type="http://schemas.openxmlformats.org/officeDocument/2006/relationships/hyperlink" Target="https://www.policyuncertainty.com/us_monthly.html" TargetMode="External"/><Relationship Id="rId10" Type="http://schemas.openxmlformats.org/officeDocument/2006/relationships/hyperlink" Target="https://fred.stlouisfed.org/series/FEDFUNDS" TargetMode="External"/><Relationship Id="rId19" Type="http://schemas.openxmlformats.org/officeDocument/2006/relationships/hyperlink" Target="https://fred.stlouisfed.org/series/NMUR" TargetMode="External"/><Relationship Id="rId4" Type="http://schemas.openxmlformats.org/officeDocument/2006/relationships/webSettings" Target="webSettings.xml"/><Relationship Id="rId9" Type="http://schemas.openxmlformats.org/officeDocument/2006/relationships/hyperlink" Target="https://fred.stlouisfed.org/series/FEDFUNDS" TargetMode="External"/><Relationship Id="rId14" Type="http://schemas.openxmlformats.org/officeDocument/2006/relationships/hyperlink" Target="https://www.eia.gov/international/data/world/petroleum-and-other-liquids/monthly-petroleum-and-other-liquids-production?pd=5&amp;p=0000000000000000000000000000000000vg&amp;u=0&amp;f=M&amp;v=mapbubble&amp;a=-&amp;i=none&amp;vo=value&amp;&amp;t=C&amp;g=00000000000000000000000000000000000000000000000001&amp;l=249-ruvvvvvfvtvnvv1vrvvvvfvvvvvvfvvvou20evvvvvvvvvvnvvvs0008&amp;s=94694400000&amp;e=1727740800000" TargetMode="External"/><Relationship Id="rId22" Type="http://schemas.openxmlformats.org/officeDocument/2006/relationships/hyperlink" Target="https://www.policyuncertainty.com/us_monthl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3513D-EE6C-40F4-B002-88EF032D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mxhjustin M</dc:creator>
  <cp:keywords/>
  <dc:description/>
  <cp:lastModifiedBy>mxhjustin M</cp:lastModifiedBy>
  <cp:revision>13</cp:revision>
  <dcterms:created xsi:type="dcterms:W3CDTF">2025-03-04T17:21:00Z</dcterms:created>
  <dcterms:modified xsi:type="dcterms:W3CDTF">2025-03-12T15:21:00Z</dcterms:modified>
</cp:coreProperties>
</file>