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40" w:before="24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56"/>
          <w:szCs w:val="56"/>
        </w:rPr>
        <w:t xml:space="preserve">AI 产业链全景投资研究报告</w:t>
      </w:r>
    </w:p>
    <w:p>
      <w:pPr>
        <w:spacing w:after="480" w:before="0"/>
        <w:jc w:val="center"/>
      </w:pPr>
      <w:r>
        <w:rPr>
          <w:rFonts w:ascii="微软雅黑" w:cs="微软雅黑" w:eastAsia="微软雅黑" w:hAnsi="微软雅黑"/>
          <w:b/>
          <w:bCs/>
          <w:color w:val="C00000"/>
          <w:sz w:val="36"/>
          <w:szCs w:val="36"/>
        </w:rPr>
        <w:t xml:space="preserve">—— 物理 AI 与具身智能专题</w:t>
      </w:r>
    </w:p>
    <w:p>
      <w:pPr>
        <w:spacing w:after="1200" w:before="120"/>
        <w:jc w:val="center"/>
      </w:pPr>
      <w:r>
        <w:rPr>
          <w:rFonts w:ascii="微软雅黑" w:cs="微软雅黑" w:eastAsia="微软雅黑" w:hAnsi="微软雅黑"/>
          <w:i/>
          <w:iCs/>
          <w:color w:val="BF9000"/>
          <w:sz w:val="26"/>
          <w:szCs w:val="26"/>
        </w:rPr>
        <w:t xml:space="preserve">从大模型时代走向物理智能:产业格局、技术路径与投资机会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595959"/>
          <w:sz w:val="24"/>
          <w:szCs w:val="24"/>
        </w:rPr>
        <w:t xml:space="preserve">投资研究 · 行业深度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595959"/>
          <w:sz w:val="24"/>
          <w:szCs w:val="24"/>
        </w:rPr>
        <w:t xml:space="preserve">2026 年 5 月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一、报告摘要与核心观点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24"/>
              <w:left w:val="single" w:color="1F3864" w:sz="24"/>
              <w:bottom w:val="single" w:color="1F3864" w:sz="24"/>
              <w:right w:val="single" w:color="1F3864" w:sz="24"/>
            </w:tcBorders>
            <w:shd w:fill="FFF8E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6"/>
                <w:szCs w:val="26"/>
              </w:rPr>
              <w:t xml:space="preserve">★ 核心观点</w:t>
            </w:r>
          </w:p>
          <w:p>
            <w:pPr>
              <w:spacing w:after="60" w:before="60" w:line="360"/>
              <w:jc w:val="both"/>
            </w:pPr>
            <w:r>
              <w:rPr>
                <w:rFonts w:ascii="微软雅黑" w:cs="微软雅黑" w:eastAsia="微软雅黑" w:hAnsi="微软雅黑"/>
                <w:color w:val="595959"/>
                <w:sz w:val="22"/>
                <w:szCs w:val="22"/>
              </w:rPr>
              <w:t xml:space="preserve">AI 正经历从数字 AI 向物理 AI 的范式跃迁。如果将 2022 年生成式 AI、2025 年智能体 AI 都看作数字 AI 的延展,那么物理 AI 对应的是体量大一个数量级以上的市场——AI 不再受限于桌面屏幕,而是走向现实世界完成体力劳动替代。这一转变将在未来 10 年全面发生。</w:t>
            </w:r>
          </w:p>
          <w:p>
            <w:pPr>
              <w:spacing w:after="60" w:before="60" w:line="360"/>
              <w:jc w:val="both"/>
            </w:pPr>
            <w:r>
              <w:rPr>
                <w:rFonts w:ascii="微软雅黑" w:cs="微软雅黑" w:eastAsia="微软雅黑" w:hAnsi="微软雅黑"/>
                <w:color w:val="595959"/>
                <w:sz w:val="22"/>
                <w:szCs w:val="22"/>
              </w:rPr>
              <w:t xml:space="preserve">产业格局上,数字 AI 时代应用层呈现"赢者通吃"的高度集中(Anthropic ARR 已达 440 亿美元,字节跳动级 5 年达成);而物理 AI 时代应用层将分散于不同产业类型、不同地域,这给了基础设施层的公司更大的整合机会。世界模型、具身基础模型、数据基础设施将成为物理 AI 的"CUDA"。</w:t>
            </w:r>
          </w:p>
          <w:p>
            <w:pPr>
              <w:spacing w:after="60" w:before="60" w:line="360"/>
              <w:jc w:val="both"/>
            </w:pPr>
            <w:r>
              <w:rPr>
                <w:rFonts w:ascii="微软雅黑" w:cs="微软雅黑" w:eastAsia="微软雅黑" w:hAnsi="微软雅黑"/>
                <w:color w:val="595959"/>
                <w:sz w:val="22"/>
                <w:szCs w:val="22"/>
              </w:rPr>
              <w:t xml:space="preserve">具身智能数据规模需求是自动驾驶的 1000 倍以上(每时每刻需要 10 亿个数据生成器),仿真合成数据 + 人类视频数据将占据 99.9% 的数据来源,真机数据仅占 1/1000。VLA 范式正在向"世界模型主导的具身基模 2.0"演进,可带来 10 倍 scaling 与泛化能力提升。</w:t>
            </w:r>
          </w:p>
          <w:p>
            <w:pPr>
              <w:spacing w:after="60" w:before="60" w:line="360"/>
              <w:jc w:val="both"/>
            </w:pPr>
            <w:r>
              <w:rPr>
                <w:rFonts w:ascii="微软雅黑" w:cs="微软雅黑" w:eastAsia="微软雅黑" w:hAnsi="微软雅黑"/>
                <w:b/>
                <w:bCs/>
                <w:color w:val="1F3864"/>
                <w:sz w:val="22"/>
                <w:szCs w:val="22"/>
              </w:rPr>
              <w:t xml:space="preserve">我们建议投资三大主线:(1)具身大脑:VLA、世界模型、数据基础设施(光轮智能、极佳世界等);(2)具身硬件:本体、关节、传感器、端侧推理芯片;(3)落地场景:工业、商业先行,自动驾驶、低空经济、智驾物流等已先行验证。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1.1 AI 范式的三阶段演进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回顾 AI 产业的发展节奏,可以清晰地划分为三个阶段: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第一阶段:数字 AI 1.0(2022-2024)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 —— 以 ChatGPT、GPT-4 为代表的生成式 AI,核心场景是对话框内的文本/图像生成。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第二阶段:数字 AI 2.0(2024-2026)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 —— 以 OpenAI o1、Claude Code 为代表的推理模型与智能体,核心场景从生成走向 Coding 闭环、Agent 任务执行。Anthropic 年化重复营收(ARR)从 0 到 440 亿美元只用了不到 5 年,行业预期年底突破千亿美金。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第三阶段:物理 AI(2026-2030)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 —— 从数字世界走向物理世界,通用物理智能赋能机器人、具身设备、自动驾驶,实现"无限的物理生产力"。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1.2 数字 AI 与物理 AI 的产业格局对比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数字 AI 时代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物理 AI 时代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应用层格局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赢者通吃,极度集中(全球 3-5 家)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分散多元,产业类型与地域差异大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应用公司向下整合(Google 模式)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基础设施层公司向上服务多元应用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市场体量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基准市场体量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至少 10 倍以上(GDP 占比)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互联网海量文本/图像数据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仿真合成 + 人类视频 + 真机数据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核心模型范式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Transformer + 大语言模型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世界模型 + VLA + 物理智能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终端形态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PC、手机、网页(屏幕交互)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机器人、自动驾驶、各类智能载具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二、大模型产业:全模态时代的格局重塑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2.1 全球大模型竞争格局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从 2026 年初 LMArena 等公开榜单看,全球大模型前五名以 GPT-5.5、Claude Opus 4.7、Gemini 3.1 等美国闭源模型为主,中国模型(Kimi K2.6、GLM 5.1、DeepSeek 等)能勉强挤入前五的窗口期较短。但中国模型在性价比、开源、垂直场景适配上具备结构性优势——DeepSeek 的横空出世正是中国非美力量打破"开源弱于闭源"固有认知的标志性事件。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更值得关注的是头部公司的迭代速度:基本以月为单位更新、以季度为单位做大版本迭代。MiniMax 等头部企业的全模态产品矩阵(语言、视觉、声音、视频)已在国际市场获得 70% 以上用户份额,B 端与 C 端从 7:3 演变为 5:5,商业化进展加速。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2.2 大模型公司价值评估的新公式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MiniMax 副总裁高天提出:大模型企业的价值 = 智能密度 × Token 吞吐量。其中: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智能密度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:模型能够输出 GDP、产生真实劳动成果的能力。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Token 吞吐量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:不仅取决于算力规模,还与模型效率、底层基础架构强相关。MiniMax、DeepSeek 等头部企业能在 Token 吞吐效率上做到非常高,带动 Token 成本大幅下降。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这一公式同时指引出大模型公司差异化竞争的方向:智能(Intelligence,文本/视觉理解、Coding)+ 想象(Imagination,视频/声音/内容生成)双线布局。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2.3 AI 原生组织架构的特征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MiniMax、DeepSeek、月之暗面、智谱等头部模型公司组织规模都不大(300-500 人),平均年龄不到 30 岁,8 成以上是技术团队。这种"AI 原生"组织架构具有三大特征: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极度扁平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:CEO 到执行层只有 2 层,大量同事跨工作组参与多个项目,适配 AI 行业的快速发展速度。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人才密度高于规模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:真正能扛炸药包的核心人员仅 10-20 位,其他同事是"火药"配合核心人员攻坚。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从底层到 Harness 全栈协同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:底层架构、模型研发、产品交付一拨人同时参与,目标可快速迭代调整。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这种结构对组织建设、人才选用、研发管理都提出了与传统科技企业截然不同的要求。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2.4 大模型变现路径:从对话框到 Token 工厂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当前大模型的 Token 使用量主要来自三类客户: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客户类型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使用场景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付费意愿与规模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个人消费者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日常对话、AIGC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用户基础大,但单户 Token 消耗有限(豆包标准版 68 元/月)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企业级客户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AI Coding、办公自动化、行业 Agent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付费意愿强、单户消耗大,Coding 替代研发人力价值显著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开发者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API 调用、Agent 开发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规模化潜力大,生态价值高</w:t>
            </w:r>
          </w:p>
        </w:tc>
      </w:tr>
    </w:tbl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Anthropic、OpenAI 与美国头部私募基金成立合资公司,把模型产品驻场到金融、法律等高价值场景,本质上是 Token 经济在企业级场景的兑现。这种模式比单纯雇佣行业专家迭代模型更高效——直接到第一线看真实应用、拿第一手数据。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三、具身智能产业链:从概念验证到规模化前夜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3.1 具身智能的核心要素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具身智能是软硬结合的颠覆性新物种,与传统机器人不同的是它和环境形成了交互、通过数据学习不断进化迭代。其核心要素包括三个嵌入到载体的关键能力: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数据感知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:多模态信息采集与理解(视觉、3D、物理、动作)。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具身大模型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:大脑/小脑、云端/端侧的协同,实现局部场景泛化迁移。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端侧芯片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:感知芯片、推理芯片、运控芯片三类专用芯片支持。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具身智能可分为五大类:四足/人形/仿生/陪伴机器人;智能运载(无人车/无人机/无人艇);家庭可穿戴智能终端等。这五类与中国制造供应链和大市场紧密结合,通过电力、算力、智力、数据力、生产力"五力"嵌入到现有载体和装备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3.2 具身智能产业的三个预判</w:t>
      </w:r>
    </w:p>
    <w:p>
      <w:pPr>
        <w:pStyle w:val="Heading3"/>
        <w:spacing w:after="140" w:before="200"/>
      </w:pPr>
      <w:r>
        <w:rPr>
          <w:rFonts w:ascii="微软雅黑" w:cs="微软雅黑" w:eastAsia="微软雅黑" w:hAnsi="微软雅黑"/>
          <w:b/>
          <w:bCs/>
          <w:color w:val="BF9000"/>
          <w:sz w:val="24"/>
          <w:szCs w:val="24"/>
        </w:rPr>
        <w:t xml:space="preserve">3.2.1 预判一:创新生态、国家逻辑前置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具身智能作为新质生产力,在地缘政治影响全球供应链的背景下,国家逻辑前置成为必然——围绕中国伟大复兴中心任务,推动国家资本进入早期的硬科技投资和战略赛道布局。从市场数据看: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中美独角兽占世界 70%,其中 70% 国有资产参与早期投资,400 多家独角兽中国有参与 50%;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中国独角兽全球排第二(美国是 2 倍),但已连续三年上升,大厂和一线机构基于产业趋势设计、孵化、拆分独角兽占 30-40%;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2026 年 1-4 月中国具身智能融资 151 起,金额突破 500 亿,4 个月已等于 2025 全年总和(300-500 亿);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70% 来自三大集聚区:京津冀(原始创新)、长三角(产业牵引)、大湾区(全球出海)。</w:t>
      </w:r>
    </w:p>
    <w:p>
      <w:pPr>
        <w:pStyle w:val="Heading3"/>
        <w:spacing w:after="140" w:before="200"/>
      </w:pPr>
      <w:r>
        <w:rPr>
          <w:rFonts w:ascii="微软雅黑" w:cs="微软雅黑" w:eastAsia="微软雅黑" w:hAnsi="微软雅黑"/>
          <w:b/>
          <w:bCs/>
          <w:color w:val="BF9000"/>
          <w:sz w:val="24"/>
          <w:szCs w:val="24"/>
        </w:rPr>
        <w:t xml:space="preserve">3.2.2 预判二:具身大模型 + 多模态数据 + 算力芯片正双向奔赴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从概念验证走向规模化应用前夜,具身智能正在三个维度收敛: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视觉观察与世界理解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:从宏观看到场景,提高认知能力。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本体操作与物理数据驱动建立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:真机数据 + 仿真合成数据 + 视频预训练。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交互操作闭环与迭代学习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:类似骑自行车、家居装配、工业制造的抛光打磨。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人们目前最关心的问题已经不再是本体制造、运动灵活性、模型参数与训练效率,而是"具身智能基础能力"——如何将大脑/小脑、云端/端侧的模型嵌入载体,将视觉空间、操作空间、智能认知与触觉力觉的多模态结合,实现局部场景泛化迁移并保证应用场景下系统可靠性。</w:t>
      </w:r>
    </w:p>
    <w:p>
      <w:pPr>
        <w:pStyle w:val="Heading3"/>
        <w:spacing w:after="140" w:before="200"/>
      </w:pPr>
      <w:r>
        <w:rPr>
          <w:rFonts w:ascii="微软雅黑" w:cs="微软雅黑" w:eastAsia="微软雅黑" w:hAnsi="微软雅黑"/>
          <w:b/>
          <w:bCs/>
          <w:color w:val="BF9000"/>
          <w:sz w:val="24"/>
          <w:szCs w:val="24"/>
        </w:rPr>
        <w:t xml:space="preserve">3.2.3 预判三:聚合智能体产业生态形成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具身智能、自动驾驶、低空经济(AVITO)三者技术驱动同源 80% 相同(数据 + 模型 + 芯片),制造装备和供应链复用度 60%,正在形成具有中国产业供应链优势的"聚合智能体"。这种演变可类比为石器→铁器→电器→智器的产业链跃迁,即模型 + 数据 + 芯片 + 基础制造为核心,叠加传统整机、核心部件、下游运营服务,构成 1+3+1 的产业框架。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四、技术路径深度:从 VLA 到世界模型主导的基模 2.0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4.1 当前主流路线:VLA 范式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VLA(Vision-Language-Action)范式是过去 1-2 年具身大模型的主流。其本质是把动作(action)当作一个模态、一个 Token,在 VLM(视觉语言模型)后面加一个 Action Expert,沿用智能体的思路。这一范式取得了一定进展,但也暴露出明显瓶颈: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缺乏物理先验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:VLM 训得再好,依然没有物理世界的先验知识。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学习效率低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:基于语言为中心的架构,对动作的学习效率不高。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数据需求大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:VLA 需要 10 万小时级别的高质量真机数据。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4.2 下一代:世界模型主导的具身基模 2.0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世界模型(World Model)代表了具身智能的下一个范式。其核心理念是通过"预训练→对齐→强化学习"的完整路径,实现通用物理智能。三大支柱: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物理世界预训练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:基于世界模型的全新预训练学习物理规律,而非简单基于真体语言的预训练。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动作对齐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:通过遥操或人类数据完成物理世界的动作对齐。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强化学习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:在物理世界实现长程精准任务执行。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根据极佳世界、光轮智能等头部公司的研判,世界模型主导的具身基模 2.0 相比 VLA 可带来 10 倍的 Scaling 与泛化能力提升:VLA 需要 10 万小时数据,世界模型只需要 1 万小时。原因在于世界模型预训练已学到大量物理规律和物理世界知识,对动作学习帮助巨大;而 VLM 训练对动作学习帮助有限。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4.3 世界模型的三大流派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流派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核心特征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代表玩家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应用场景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物理正确派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追求 3D 一致性、物理一致性、动作准确性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51World、极佳世界、英伟达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智驾、机器人、严肃训练场景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隐空间派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不强调可视化,机器使用为主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Yann LeCun 体系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具身基模、效率优先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3D 世界派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3D 交互空间,娱乐导向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李飞飞 World Labs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游戏、内容创作、虚拟世界</w:t>
            </w:r>
          </w:p>
        </w:tc>
      </w:tr>
    </w:tbl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4.4 数据基础设施:具身智能的"新 CUDA"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具身智能的数据需求量是自动驾驶的 1000 倍以上(从特斯拉每天百万车在跑回算,具身 = 1000 × 100 万 = 10 亿数据生成器)。基于朱玉可教授的数据金字塔理论,真实数据(本体相关)只占 1/1000,99.9% 的数据来自仿真合成数据 + 互联网/人类视频(本体无关)。这与自动驾驶"数据闭环 → 良性循环"的逻辑完全相反。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光轮智能定位"NVIDIA for data",是物理 AI 数据领域第一家独角兽,核心产品包括三大类: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基于仿真的合成数据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:全球占有率 80%+。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人类视频数据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:让仿真转起来的关键。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仿真评测平台 RoboFinals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:已成为国际标准。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光轮已加入由英伟达、Google DeepMind、Disney、TRI 创立的 Newton TIC(全球最领先的具身仿真开源组织),是其中唯一的中国企业。这意味着中国公司开始在国际具身仿真标准制定中占据一席之地。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4.5 具身仿真:全球格局与卡点演进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国际巨头在仿真上的争夺由来已久:PhysX(英伟达 2008 年收购)、Mujoco(Google DeepMind 2021 年收购)、Drake(Toyota Research Institute)、Disney 仿真器,代表了全球具身仿真的最高水平。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当前整个具身行业的最大卡点已经从硬件、数据转向"评测"——大模型公司加了算力、加了数据,但缺乏规模化、并行化、足够准确的工业级评测基础设施。仿真因此成为具身规模化评测的前提条件:无法规模化评测,具身模型就不可能真正落地。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五、应用场景落地:从工业到自动驾驶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5.1 应用场景切入策略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基于克莱顿《创新者的窘境》的颠覆性创新理论,具身智能不会从主流产业(汽车制造)发起,而是从边缘场景起步。三个明显趋势: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从好算账、易接纳的容侧商业入手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:如门店导购、新型数据中心、光通信制造等。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从工厂辅助、专业岗位入手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:替代资深技术员、AI 店长、AI 工艺工程师等。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从家庭农副食品加工切入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,再到老人陪护等长期场景。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5.2 工业场景:具身智能的最佳落地起点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陆鸣机器人、中科第五季等公司均验证了"L2 → L4"的渐进式商业化路径,而非 Pi、Generalist.AI 的"L1 → L4"直接通用路线。工业场景之所以是最优起点,主要原因: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结构化环境对技术成熟度要求相对较低;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付费意愿强、数据成本低、安全余量大;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工业积累的技能(如 Pick &amp; Place 占 70% 以上)在家庭、商业可复用;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场景资源由产业方开放,头部产业方往往自带销售渠道。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典型案例:陆鸣机器人与三菱电机(全球工业自动化龙头,年收入 500 亿)签署 A1+A2 两轮投资,共同打造质检、搬运、分拣、装配四大场景的具身智能解决方案。中科第五季则在工业巡检、搬运、分拣等场景落地,自研轮式双臂本体,服务央国企等行业头部客户。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5.3 自动驾驶:物理 AI 的第一个万亿美金市场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自动驾驶是物理 AI 在当下已经规模化落地的第一个市场,2026 年中国新能源汽车 70% L3 已规模化量产,RoboTaxi 和 RoboVan 已试运行。51World 的世界模型在智驾领域已贡献最大现金流——通过 4D 高斯重建、生成式仿真,直接从真实摄像头数据变成结构化数据,生成更多合成数据训练车辆,置信度可达 99% 以上。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整个智驾产业正从"图形仿真驱动"向"数据驱动"转变,世界模型成为智驾数据闭环的核心。51World 在该市场份额已过半,持续向更高份额演进。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5.4 物流配送:RoboVan 商业化先锋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九识智能(Zelos)是 L4 级 RoboVan 的全球龙头,2021 年 8 月成立,累计交付突破 25000 台,覆盖 340+ 城市,商业化运营里程超过 1.2 亿公里,2025 年完成 3 亿美金融资,估值过 100 亿人民币。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对比维度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无人车(Z5,5 立方)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有人车(五菱宏光等)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月度用车成本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约 3000 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约 10000 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人工司机工资 + 五险一金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约 7000 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降本空间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约 70%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基准</w:t>
            </w:r>
          </w:p>
        </w:tc>
      </w:tr>
    </w:tbl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海外市场单车价值更高:新加坡卖 8-10 万美金(国内 12 万人民币),FSD 年订阅费 8000-10000 美金,可实现 5-6 倍单车收入提升。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5.5 新能源重卡:被忽视的电动化最后阵地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新能源重卡占公路碳排放 60%,3% 保有量贡献 80% 氮氧化物排放,是双碳战略不可绕开的赛道。三一重卡数据显示: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中国 2025 年新能源重卡渗透率 29%,完美复刻乘用车 2022 年 27.6% 路径;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中国占全球新能源重卡销量超过 95%,是全球绝对主战场;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生命周期相比燃油重卡平均节省 34 万元,三一重卡可达 47 万元;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无人重卡是下一个想象空间,L3 准入许可 + 车路云一体化基建已铺路。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六、产业链投资框架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6.1 三层产业架构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具身智能的 "3+2" 产业生态决定了其广度和深度: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链主层(3 家)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:(1)大模型厂商(基础知识 + 客户定义垂类);(2)制造商(通用平台、运控、操作执行器);(3)AI RaaS(服务订阅 + 租赁结合)。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应用层(50-100+ 家)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:垂类领域应用,工业、商业、家庭、医疗等。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供应链层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:数据采集训练、端侧识别芯片、推理芯片、运控芯片、动力电池、视觉传感器、关节一体化核心部件等。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6.2 重点投资环节梳理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环节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代表公司/方向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投资逻辑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具身大脑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具身大模型、世界模型公司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天花板可对标 OpenAI,潜在市值最高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数据基础设施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光轮智能、合成数据公司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"新 CUDA" 卡位,标准制定者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世界模型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51World、极佳世界等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智驾 + 具身双轮驱动,数据飞轮核心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具身本体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陆鸣、中科第五季、加速进化等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场景为王,垂类突破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RoboVan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九识智能(Zelos)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城配最后一公里,2030 千亿市场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RoboTaxi/Bus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智驾领先车企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L3 量产、L4 试运行,商保兜底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新能源重卡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三一重卡等头部玩家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万亿赛道、寡头集中、出海蓝海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具身芯片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感知/推理/运控芯片厂商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端侧 AI 推理算力底座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企业级 AI Agent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迪派科技、特赞等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Token 生产力平台,本体记忆机制</w:t>
            </w:r>
          </w:p>
        </w:tc>
      </w:tr>
    </w:tbl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6.3 选股标准:三个看到 vs 三个忽略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三个应该看到: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数据飞轮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:真实场景中是否能形成数据闭环、产生 Recover 数据。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场景资产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:是否绑定头部产业方、获得场景资源开放和销售渠道支持。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全栈能力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:硬件 + 模型 + 数据 + 部署的完整能力链。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三个应该忽略: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纯硬件参数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:单卡性能、电机功率等容易被超节点架构、SoC 集成颠覆。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短期估值波动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:AI 行业每 3-6 个月一次大版本迭代,估值波动剧烈但长期向上。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技术路线赌注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:VLA、世界模型、混合范式仍在演化,押注单一路线风险高。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七、风险因素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AI 产业链投资需关注以下风险: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技术演进风险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:VLA、世界模型等技术路径仍在快速演化,单一路线押注存在被颠覆风险。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数据获取风险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:真机数据采集成本高、效率低,合成数据质量在动态交互场景下存在差距。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商业化节奏风险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:具身智能、机器人短期场景泛化能力有限,商业化进度可能慢于预期。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地缘政治与算力管制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:先进制程产能受限,模型训练对海外集群依赖度仍高。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估值波动风险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:AI 板块估值与情绪共振,短期波动大,需要足够耐心。</w:t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八、总结展望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AI 产业正经历从数字 AI 到物理 AI 的范式跃迁。这一转变体量更大(至少 10 倍以上)、产业格局更分散、应用场景更多元,给基础设施层公司、垂类落地厂商、数据 + 模型 + 评测三位一体的整合者都带来巨大机会。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建议投资者保持"长期陪伴 + 短期纪律"的双重视角:既看到 AI 赛道未来 10 年的星辰大海,也看到产业落地存在 ups and downs;既加杠杆于人本身的认知与框架,也通过 AI 工具实现效率与认知的平权;既卷 AI,也卷自己。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正如圆桌论坛所总结:全球市值最大的公司大概只成立了 30 年,所以 30 年之后全球市值最大的公司还没成立、刚刚成立、或就在我们其中。AI 产业链的长期机会值得深度布局。</w:t>
      </w:r>
    </w:p>
    <w:p>
      <w:pPr>
        <w:spacing w:before="60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18"/>
          <w:szCs w:val="18"/>
        </w:rPr>
        <w:t xml:space="preserve">本报告基于公开会议纪要与产业调研整理,仅供内部投研参考,不构成投资建议。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微软雅黑" w:cs="微软雅黑" w:eastAsia="微软雅黑" w:hAnsi="微软雅黑"/>
        <w:color w:val="595959"/>
        <w:sz w:val="18"/>
        <w:szCs w:val="18"/>
      </w:rPr>
      <w:t xml:space="preserve">投资研究 · 行业深度</w:t>
    </w:r>
    <w:r>
      <w:rPr>
        <w:rFonts w:ascii="微软雅黑" w:cs="微软雅黑" w:eastAsia="微软雅黑" w:hAnsi="微软雅黑"/>
        <w:color w:val="595959"/>
        <w:sz w:val="18"/>
        <w:szCs w:val="18"/>
      </w:rPr>
      <w:t xml:space="preserve">	第 </w:t>
    </w:r>
    <w:r>
      <w:rPr>
        <w:rFonts w:ascii="微软雅黑" w:cs="微软雅黑" w:eastAsia="微软雅黑" w:hAnsi="微软雅黑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jc w:val="right"/>
    </w:pPr>
    <w:r>
      <w:rPr>
        <w:rFonts w:ascii="微软雅黑" w:cs="微软雅黑" w:eastAsia="微软雅黑" w:hAnsi="微软雅黑"/>
        <w:color w:val="1F3864"/>
        <w:sz w:val="18"/>
        <w:szCs w:val="18"/>
      </w:rPr>
      <w:t xml:space="preserve">AI 产业链全景投资研究报告 —— 物理 AI 与具身智能专题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80" w:hanging="240"/>
      </w:pPr>
      <w:rPr>
        <w:color w:val="C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微软雅黑" w:cs="微软雅黑" w:eastAsia="微软雅黑" w:hAnsi="微软雅黑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微软雅黑" w:cs="微软雅黑" w:eastAsia="微软雅黑" w:hAnsi="微软雅黑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  <w:outlineLvl w:val="2"/>
    </w:pPr>
    <w:rPr>
      <w:rFonts w:ascii="微软雅黑" w:cs="微软雅黑" w:eastAsia="微软雅黑" w:hAnsi="微软雅黑"/>
      <w:b/>
      <w:bCs/>
      <w:color w:val="BF9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AI产业链全景投资研究报告——物理AI与具身智能专题</dc:title>
  <dc:creator>Claude AI</dc:creator>
  <cp:lastModifiedBy>Un-named</cp:lastModifiedBy>
  <cp:revision>1</cp:revision>
  <dcterms:created xsi:type="dcterms:W3CDTF">2026-05-09T13:04:23.186Z</dcterms:created>
  <dcterms:modified xsi:type="dcterms:W3CDTF">2026-05-09T13:04:23.187Z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