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before="24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4"/>
          <w:szCs w:val="54"/>
        </w:rPr>
        <w:t xml:space="preserve">AI 基础设施与能源转型</w:t>
      </w:r>
    </w:p>
    <w:p>
      <w:pPr>
        <w:spacing w:after="480" w:before="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4"/>
          <w:szCs w:val="54"/>
        </w:rPr>
        <w:t xml:space="preserve">投资研究报告</w:t>
      </w:r>
    </w:p>
    <w:p>
      <w:pPr>
        <w:spacing w:after="1200" w:before="120"/>
        <w:jc w:val="center"/>
      </w:pPr>
      <w:r>
        <w:rPr>
          <w:rFonts w:ascii="微软雅黑" w:cs="微软雅黑" w:eastAsia="微软雅黑" w:hAnsi="微软雅黑"/>
          <w:i/>
          <w:iCs/>
          <w:color w:val="BF9000"/>
          <w:sz w:val="26"/>
          <w:szCs w:val="26"/>
        </w:rPr>
        <w:t xml:space="preserve">—— 燃机、核电、绿色燃料、新能源重卡的产业全景与投资逻辑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投资研究 · 行业深度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2026 年 5 月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一、报告摘要与核心观点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4"/>
              <w:left w:val="single" w:color="1F3864" w:sz="24"/>
              <w:bottom w:val="single" w:color="1F3864" w:sz="24"/>
              <w:right w:val="single" w:color="1F3864" w:sz="24"/>
            </w:tcBorders>
            <w:shd w:fill="FFF8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6"/>
                <w:szCs w:val="26"/>
              </w:rPr>
              <w:t xml:space="preserve">★ 核心观点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color w:val="595959"/>
                <w:sz w:val="22"/>
                <w:szCs w:val="22"/>
              </w:rPr>
              <w:t xml:space="preserve">AI 浪潮带来的不仅是算力革命,更是基础设施和能源体系的全面重构。北美 AIDC 缺电倒逼分布式能源,燃气轮机成为未来 5-10 年北美数据中心的最优解;聚变热潮下高温超导材料迎来产业化突破,聚变行业由实验堆向工程示范堆切换,十五五期间国内 30+ 装置、3000 亿投资落地;裂变方面,常态化核准下年均 2000 亿市场规模,SMR 是电力出海最完美载体。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color w:val="595959"/>
                <w:sz w:val="22"/>
                <w:szCs w:val="22"/>
              </w:rPr>
              <w:t xml:space="preserve">能源转型主线下,绿色燃料(SAF、绿色甲醇、生物船燃)正从千亿走向万亿级市场。SAF 是航空业唯一减排方案,2027 年起进入强制采购期;绿色甲醇是航海业核心替代燃料,船舶订单已超 250 艘。高温超导材料从实验室走向规模化:东方超导 2025 年实现 8000 公里产能,2026 年目标 1.5-2 万公里。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color w:val="595959"/>
                <w:sz w:val="22"/>
                <w:szCs w:val="22"/>
              </w:rPr>
              <w:t xml:space="preserve">交通领域,新能源重卡渗透率从 2022 年的 5.4% 跃升至 2025 年的 29%,完美复刻乘用车路径,中国占全球 95%。无人重卡技术已跨过门槛,九识智能(Zelos)5 立方车单月用车成本降至有人车的 30%(3000 vs 10000 元),海外单车价值 5-6 倍提升。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b/>
                <w:bCs/>
                <w:color w:val="1F3864"/>
                <w:sz w:val="22"/>
                <w:szCs w:val="22"/>
              </w:rPr>
              <w:t xml:space="preserve">我们建议投资者关注五大主线:(1)燃机产业链:整机、热部件、高温合金;(2)核电:零部件高利润、SMR 出口;(3)聚变:高温超导带材、装置零部件;(4)绿色燃料:SAF 龙头、绿色甲醇生产商;(5)智能交通:新能源重卡、RoboVan、无人化技术。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1.1 AI 浪潮下的能源与基础设施新需求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AI 基础设施投资浪潮下,燃气轮机给中国供应链带来重要变化。我们看到无论是北美云服务商,还是国内配套、全球大燃机公司供应链环节,均涌现出一批优秀公司。这一趋势的本质是:数据中心从"接入电网即可"演变为"自建电源"——北美 AIDC 大量采用燃气轮机作为主动电源,推动中国整机厂商和零部件供应商进入海外产能外溢周期。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1.2 三大核心增长引擎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引擎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驱动力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市场空间与时间维度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AI 算力供电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北美 AIDC 缺电、自建分布式电源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燃机 5-10 年高景气、订单排到 2029-2030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双碳战略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航空航海减排、绿色燃料强制添加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绿色燃料 2030 万亿、SAF 元年 2027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能源安全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核电常态化、SMR 出口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核电 2000 亿/年、聚变 3000 亿/十五五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二、燃气轮机产业链:北美 AIDC 缺电的最优解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2.1 行业概况:燃机的三大应用场景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燃气轮机是高效发电与工程驱动设备,工作效率 30-40%。从应用看: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约 2/3 用于发电(电网与 AIDC);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约 25% 用作工业驱动(压缩机组、输气管道);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约 8-10% 用作动力系统(军舰、天然气船等)。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从机型看,70-80% 是 100MW 以上重型燃机,20-30% 是 10-100MW 中小型燃机。85% 烧天然气、15% 烧煤油,因此一般称"气电设备"。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2.2 三大投资契机时间窗口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2.2.1 第一阶段:全球新能源转型与气电占比提升(已启动)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 2023 年下半年开始,全球新能源转型背景下气电占比持续提升: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北美气电占比持续提升(全国电网相对薄弱,新增电力需求大);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中东沙特等国从石油转向气电;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欧洲、日韩、台湾地区退煤、退核,转向气电与新能源;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德国关闭最大火电厂转向气电 + 新能源,新能源仍需燃机做调频调峰。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2.2.2 第二阶段:AIDC 驱动(2024 年下半年至今)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2024 年下半年起,AI 数据中心的爆发性需求成为燃机最大驱动力。北美 AIDC 选择燃机的综合性最优: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发电方式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经济性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建设周期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技术成熟度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燃气轮机(气电)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低成本、低于火电核电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2-3 年(审批 + 建设)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成熟、适配北美 AIDC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火电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中等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4-5 年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成熟但碳排放高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核电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高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8 年以上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成熟但建设周期长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新能源(风光)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低成本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短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发电质量不稳定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SMR(小堆)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中-高(待降本)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1-2 年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过 20 年成主流</w:t>
            </w:r>
          </w:p>
        </w:tc>
      </w:tr>
    </w:tbl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我们判断:未来 5-10 年内,燃气轮机都是北美数据中心的最优答案。20 年后 SMR 等先进技术可能成为主流。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2.2.3 第三阶段:维修商业模式(2028+)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燃机的核心商业模式优势在于其耗材式维修属性。"花 100 块钱买个燃机,可能要花 300 块钱去维护":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含小修、中修、大修,每次维修需更换关键零部件;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燃烧室燃油喷嘴、涡轮叶片等高频更换;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 GE/西门子(GEV)财报看,2/3 收入来自维修,1/3 来自新机;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AIDC 增量增速放缓后,2030 年新机与维修将达 1:1。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这种商业模式的特点是"持续性最好"——即使 AIDC CAPEX 投入达峰,燃机企业凭借维修属性仍能保持长期收入。海外 GE、豪迈特等公司 2028 年估值仍可给到 40-50 倍,印证了维修模式的长期价值。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2.3 燃机产业链与价值量分布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产业链环节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价值量占比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国内核心标的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受益逻辑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整机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10%+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上海电气、航发燃机、东方电气、中国动力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出海元年、海外订单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零部件 - 涡轮叶片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20%(单一最高)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应流股份、万泽股份、江苏永瀚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维修逻辑最强,中游弹性大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零部件 - 压气机叶片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10%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航发科技、WTB、航亚科技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国产替代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零部件 - 盘轴件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15%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三角防务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唯一海外供货商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零部件 - 环件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中等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航宇科技、派特新材、中航重机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海外供应链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零部件 - 机匣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8-10%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应流股份等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国产替代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零部件 - 燃烧室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中等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豪迈科技、应普精密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结构件供应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原材料 - 高温合金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50%+ 材料占比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西部超导、隆达股份、图南股份、上电股份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一季度业绩翻倍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EPC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项目级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杰瑞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绝对龙头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2.4 上海电气燃机:中国重燃机自主突破的代表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上海电气燃气轮机是中国重型燃机自主化的重要力量。从 14 年与意大利安赛尔多技术合作起步,经历技术引进 → 联合设计 → 自主开发,目前主要产品包括: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大 F 级(94.3A)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:340MW 出力,经几代改进,前温提升、效率达 39.8% 以上,目前国内能够自主制造的最大 F 级燃机。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小 F 级(64.3A)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:77.8MW 出力,适配中型电厂。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E 级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:10MW 级,皮实可靠,可烧高炉煤气等低热值燃料,适配钢铁化工尾气利用。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国内订单约 100 台,自主创新示范项目实现核心热端部件全国产化(江阴热电、华电望亭、国家电投吴松江)。新成立的轩辕动力科技公司布局 10-70MW 工业燃机,实现从 10MW 到 340MW 全功率覆盖。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三、核电产业链:裂变与聚变的双重投资机会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3.1 核裂变:常态化核准下的低估值高增长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3.1.1 行业空间与利用率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中国核电以 1.6% 的全国装机贡献了 4.82% 的发电量,但同期全球平均 10%、发达国家 20%+(法国 70%+),中国核电上行空间巨大。核电年均利用小时数是煤电 1.6 倍,可实现 7×24 小时发电,几乎不需停机,且铀价占成本不到 1/10。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数据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十五五年均机组核准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不少于 10 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常态化核准平台跃升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单台对应投资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约 200 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年均 2000 亿市场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十五期间负荷增速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不少于 30%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业绩增速明确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核心设备毛利率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30-60%+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高利润率高端制造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当前 PE 估值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20+ 倍 / 27 年仅 10+ 倍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严重低估</w:t>
            </w:r>
          </w:p>
        </w:tc>
      </w:tr>
    </w:tbl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3.1.2 时间节奏:业绩兑现的关键窗口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核电零部件企业的业绩释放在核电开工后 1-2 年完成。从开工节奏看: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2025 年开工 9 台机组,同比 2024 年 +50%;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2025 年报表反映 23-24 年 5-6 台机组的年均交付;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2026H2-2027 报表将反映 2025 年的 9 台开工,同比 +50% 跃升;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前期"已核准未开工"机组将在痛点理顺后密集释放。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核电板块的业绩增速将最早从 2026 年二季度开始得到逐季度的体现。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3.1.3 远期增长极:四代堆 + SMR + 乏燃料后处理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除常规三代堆外,核电行业还有三大成长引擎: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四代堆(高温气冷堆、土基熔岩堆、快堆)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:可供热制氢,可建在内陆,完全是三代堆的增量。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SMR 小型模块化反应堆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:电力出海最完美载体,造价低、组网灵活、12 月即可建成、5-7 年无需换料,无卡脖子风险。国际能源署预测接近 4 万亿零部件市场。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乏燃料后处理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:国内已运行 + 在建产能仅 400+ 吨,2030 年单年新增乏燃料 2600 吨,累计接近 3 万吨,庞大数字。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3.2 核聚变:从实验堆向工程示范堆的拐点切换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3.2.1 聚变行业的拐点已至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聚变作为人类发电的终极能源,2022 年是关键拐点。第二代高温超导带材的商业化突破,使装置可以做小、成本可降十几倍。具体地: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聚变装置反应功率与磁场大小正相关,磁场提升直接降低成本;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2022 年前建一个聚变装置起步千亿(ITER 烧了近 2000 亿人民币);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现在装置规模可压缩至原 1/40 大小、十几倍降幅成本。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3.2.2 全球聚变热潮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美国 4 家以上初创公司融资超过 10 亿美金;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CFS 估值 80 亿美金融资,特朗普 60 亿美金收购 TAE;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国内中国聚变能源有限公司、初创公司多家成立;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欧盟、日韩等都官宣国家级战略。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3.2.3 中国聚变投资规模与节点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国内"两地三区"布局(成都 + 上海闵行 + 永兴),核工业体系整合资源: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时间节点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关键事件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催化与意义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2026 年上半年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光聚变园区招标 90 亿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零部件订单密集落地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2026 年下半年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C 项目 1000 亿装置启动招标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十五五投资峰值开启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2027 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环流 4 号项目关键节点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首次磁约束聚变燃烧实验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2030 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形成 10MW 聚变功率输出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实验堆里程碑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十五五整体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国内 30+ 装置、3000 亿投资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年均 600 亿投资规模庞大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3.3 高温超导:聚变产业化的关键材料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REBCO 第二代高温超导带材是聚变实现产业化的核心材料。其优势: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转变温度高达 93K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:不需依赖液氦,可用液氮(空气压缩获得,工业常用)。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原材料成本低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:主要为镍基不锈钢、银层(2-3 微米)、铜层等,长期降价空间大。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上临界磁场极高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:4.2K 下,临界电流水平比铌三锡高 1-2 个数量级,可在 30-40T 高场使用。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东方超导(永鼎股份控股 65.79%)是国内 REBCO 龙头,采用 MOCVD 技术路线: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年度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产能里程碑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性能里程碑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基于 863 计划研发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国内电流×长度纪录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2018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1000+ 米长带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世界纪录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2025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8000 公里产能落地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12mm 宽 1200A@20K@20T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2026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目标 1.5-2 万公里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HF 系列已达 1305A/12mm@20K@20T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2027 计划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4 万公里以上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聚变 + 中场 + 高场全覆盖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四、绿色燃料产业:从千亿走向万亿的能源转型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4.1 行业整体空间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中国当前石油消费量约 7.5 亿吨,40% 用于交通、30% 化工、剩余工业用途。未来降碳推进下,液体燃料消费结构演化路径: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液体燃料总量趋势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绿色燃料渗透率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投资节点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当前(2026)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7.5 亿吨,化石占 99%+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约 0%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从 0 到 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2030 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交通汽柴油被电动车替代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起步阶段、年负荷增速三位数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强制掺混元年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2040 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液体燃料量回落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突破 10%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规模化放量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2060 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总量 -30%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约 50%(占据半壁江山)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数万亿市场,等同三桶油规模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4.2 SAF(可持续航空燃料):2027 年全球需求大年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SAF 是航空业"几乎唯一的减排方式"——电气化在航空业不可行。从政策驱动看: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2027 年 1 月 1 日起,所有 ICAO CORSIA 成员国(包括中国)强制参与减排计划;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欧洲 2025 年率先推出 SAF 强制添加政策;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国内政策预计 2026 年四季度出台,日本 2030 年 10% 加注、新加坡 2026 年 1% 起步。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国泰航空案例:每年消耗航煤 700 万吨,2030 年要实现 10% 加注 = 70 万吨,而当前年采购量仅 1-3 万吨——意味着 2027 年开始进入急剧采购期。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4.2.1 SAF 工艺合规性的关键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ASTM 委员会已审批 8 个工艺,但只有 3 个工艺生产的燃料能够最终实现 100% 加注(其余因不含芳烃等原因只能掺混)。投资必须关注: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HEFA(附件 1)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:技术成熟度最高,国内最容易上马,但受地沟油等废弃油脂原料限制。中国 1200 万吨废弃油脂资源,500 万吨可转向 SAF。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ATJ(附件 5、附件 8)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:未来潜力大,可用农林废弃物、可生产 ISAUF(欧洲 2030 年法规)。北大测算 2050 年 ATJ 成本可降至接近航煤,甚至低于 HEFA。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费托(附件 4 等)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:可用城市固废,长期方向。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4.2.2 SAF 投资标的梳理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生产商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:嘉澳环保(技术 + 成本 + 客户多重优势)。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UCO 供应商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:山高环能、朗坤科技、维尔利(餐厨垃圾特许经营权)。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催化剂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:建龙微纳(国产替代)。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4.3 绿色甲醇与生物船燃:航运业的减排前沿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航运 2050 净零排放下,绿色甲醇是中长期主流方案——降碳比例高于 LNG,储运方便。截至 2026 年 2 月末,绿色甲醇船舶订单量达 250 艘,2030 年航运对绿醇需求突破 900 万吨,2025-2030 年 CAGR 达 103%。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替代燃料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减碳能力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成熟度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综合排序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生物柴油 (B24)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中等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发动机成熟,过渡期主流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第一(中短期)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绿色甲醇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高(电子甲醇尤甚)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规模化进行中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第二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LNG/双燃料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中等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非常成熟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过渡方案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绿氨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最高(无碳)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发动机不成熟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不确定</w:t>
            </w:r>
          </w:p>
        </w:tc>
      </w:tr>
    </w:tbl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绿色甲醇生产标的:中集安瑞科、佛安能源、嘉泽新能(纯生物质气化不补氢路线综合成本最低);设备方面,2060 年电解槽 + 气化炉累计投资将分别超过 3000 亿。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五、新能源重卡与智能交通:电动化 + 无人化双重想象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5.1 新能源重卡:复刻乘用车的黄金三年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中国新能源重卡 2022 年渗透率 5.4% → 2025 年 29%,完美复刻乘用车 2019 年 5.1% → 2022 年 27.6% 的指数级增长。重卡作为生产资料,客户算账驱动比乘用车更纯粹,渗透率有望突破 50% 持续上行。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5.2 三重共振驱动行业爆发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经济性核心驱动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:生命周期相比燃油重卡平均节省 34 万元(三一可达 47 万元),油价上涨 20% 节省金额扩大到 77 万元。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政策端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:双碳战略 + 国七排放标准 + 路权优先 + 环保补贴。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需求端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:物流降本增效、司机驾驶幸福感、智能化运营管理。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供给端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:三电技术成熟(电机 200 → 450 千瓦、电池 200 → 800 度电、电控七合一),全球产业链优势领先。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5.3 三一重卡:从颠覆者到领跑者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三一重卡 2021 年全面停止燃油重卡研发,All in 纯电,在 2026 年验证战略眼光: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连续 5 年全球充电牵引车市占率第一,2025 年中国市占率 18.8%;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23-25 年新能源重卡销量复合增长率 223%;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行业内唯一持续规模盈利的新能源重卡企业;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中国首家获欧盟 WVTA 认证的新能源重卡企业,产品进入德、土耳其、巴西、印尼、沙特等。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中国重卡前五市占率从 2025 年传统机型的 90.7% 集中度看,新能源重卡马太效应将更显著。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5.4 RoboVan:无人化运力的最佳载体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九识智能(Zelos)是 L4 级 Robovan 全球龙头,4 年达成首家估值过百亿独角兽: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数据/事实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产业含义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累计交付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超过 25000 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行业最大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覆盖城市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全球 340+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规模化先行者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商业里程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1.2 亿公里+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数据闭环成熟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月车成本(无人)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3000 元(5 立方车)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vs 有人车 10000 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海外溢价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国内 12 万 → 新加坡 8-10 万美金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5-6 倍单车收入</w:t>
            </w:r>
          </w:p>
        </w:tc>
      </w:tr>
    </w:tbl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中邮 2026 年体系内无人车保有量目标突破 1 万台,九识有望占 80%+ 份额。菜鸟与九识 2026 年 1 月战略整合,双品牌战略覆盖 KA + 互联网 + 海外多元渠道。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六、综合投资框架与核心标的清单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6.1 五大投资主线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2160"/>
        <w:gridCol w:w="2880"/>
        <w:gridCol w:w="2440"/>
      </w:tblGrid>
      <w:t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主线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时间窗口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受益环节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代表标的</w:t>
            </w:r>
          </w:p>
        </w:tc>
      </w:tr>
      <w:t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燃机产业链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3-5 年高景气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整机、热部件、高温合金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应流股份、隆达股份、上海电气</w:t>
            </w:r>
          </w:p>
        </w:tc>
      </w:tr>
      <w:t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核裂变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十五五业绩兑现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零部件 + SMR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各核电零部件龙头</w:t>
            </w:r>
          </w:p>
        </w:tc>
      </w:tr>
      <w:t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核聚变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中长期主题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高温超导 + 装置零部件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东方超导(永鼎股份)</w:t>
            </w:r>
          </w:p>
        </w:tc>
      </w:tr>
      <w:t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绿色燃料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2027 元年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SAF + 绿色甲醇 + 生物船燃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嘉澳环保、中集安瑞科、卓越新能</w:t>
            </w:r>
          </w:p>
        </w:tc>
      </w:tr>
      <w:t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智能交通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电动化 + 无人化共振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新能源重卡 + RoboVan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三一重卡、九识智能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6.2 共性投资逻辑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以上五大主线虽然涉及行业各异,但具有几个共性的投资逻辑: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全球前三 + 国产唯一替代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:基础设施和能源转型行业,壁垒高、集中度高,头部公司确定性强。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订单能见度高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:燃机订单已排到 2029-2030,核电业绩从 2026Q2 开始释放,SAF 强制采购 2027 启动,可见度均在 5 年以上。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从中国到全球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:中国核电、新能源重卡、RoboVan、绿色甲醇产业链均已形成全球领先地位,出海成为核心增量。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低估值高利润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:核电零部件 PE 仅 20+ 倍,毛利率 30-60%+;高温合金一季度业绩翻倍。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6.3 风险因素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政策落地节奏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:SAF 强制添加政策、聚变招标节奏、核电核准节奏均存在不及预期可能。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技术演进风险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:SMR 等先进核能、高温超导带材性能、绿色甲醇制备路线选择都存在技术演进的不确定性。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成本下降速度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:绿色燃料 vs 化石燃料、核电 vs 火电的经济性平衡需要持续技术降本。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地缘政治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:燃机海外订单、核电出口、绿色燃料国际贸易规则可能受政治因素影响。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估值波动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:主题行情波动大,需关注业绩兑现的节奏与估值匹配度。</w:t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七、总结展望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AI 浪潮驱动的不仅是算力革命,更是基础设施和能源体系的全面重构。从 AIDC 缺电对燃机的拉动,到双碳战略对绿色燃料的牵引,再到核电(裂变 + 聚变)的重新启动、新能源重卡和 RoboVan 的电动化无人化共振——每一条主线都对应着 5-10 年的产业窗口与确定性增长。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我们建议投资者从全球前三、国产唯一替代两大原则出发,重点配置以上五大主线中的头部标的。同时保持对短期催化的敏感度——SAF 强制掺混、聚变招标、核电核准等关键节点均会带来板块级的估值重估机会。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放眼更长远,AI 与能源、AI 与交通、AI 与材料的深度融合,将定义下一轮全球科技竞争的主战场。中国凭借完整的产业供应链、巨大的本土市场、活跃的资本市场,有望在这一轮变革中诞生出新一代千亿、万亿级的科技龙头。</w:t>
      </w:r>
    </w:p>
    <w:p>
      <w:pPr>
        <w:spacing w:before="60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18"/>
          <w:szCs w:val="18"/>
        </w:rPr>
        <w:t xml:space="preserve">本报告基于公开会议纪要与产业调研整理,仅供内部投研参考,不构成投资建议。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投资研究 · 行业深度</w:t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	第 </w:t>
    </w:r>
    <w:r>
      <w:rPr>
        <w:rFonts w:ascii="微软雅黑" w:cs="微软雅黑" w:eastAsia="微软雅黑" w:hAnsi="微软雅黑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jc w:val="right"/>
    </w:pPr>
    <w:r>
      <w:rPr>
        <w:rFonts w:ascii="微软雅黑" w:cs="微软雅黑" w:eastAsia="微软雅黑" w:hAnsi="微软雅黑"/>
        <w:color w:val="1F3864"/>
        <w:sz w:val="18"/>
        <w:szCs w:val="18"/>
      </w:rPr>
      <w:t xml:space="preserve">AI 基础设施与能源转型投资研究报告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80" w:hanging="240"/>
      </w:pPr>
      <w:rPr>
        <w:color w:val="C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微软雅黑" w:cs="微软雅黑" w:eastAsia="微软雅黑" w:hAnsi="微软雅黑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微软雅黑" w:cs="微软雅黑" w:eastAsia="微软雅黑" w:hAnsi="微软雅黑"/>
      <w:b/>
      <w:bCs/>
      <w:color w:val="BF9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AI基础设施与能源转型投资研究报告</dc:title>
  <dc:creator>Claude AI</dc:creator>
  <cp:lastModifiedBy>Un-named</cp:lastModifiedBy>
  <cp:revision>1</cp:revision>
  <dcterms:created xsi:type="dcterms:W3CDTF">2026-05-09T13:08:40.199Z</dcterms:created>
  <dcterms:modified xsi:type="dcterms:W3CDTF">2026-05-09T13:08:40.199Z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