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Arial" w:hAnsi="Arial" w:eastAsia="Microsoft YaHei"/>
          <w:b/>
          <w:color w:val="F2B233"/>
          <w:sz w:val="21"/>
        </w:rPr>
        <w:t>PROJECT EXECUTION PLAN</w:t>
      </w:r>
    </w:p>
    <w:p>
      <w:pPr>
        <w:spacing w:before="160" w:after="200" w:line="252" w:lineRule="auto"/>
        <w:keepLines/>
      </w:pPr>
      <w:r>
        <w:rPr>
          <w:rFonts w:ascii="Arial" w:hAnsi="Arial" w:eastAsia="Microsoft YaHei"/>
          <w:b/>
          <w:color w:val="17365D"/>
          <w:sz w:val="50"/>
        </w:rPr>
        <w:t>面向 AI Agent 软件开发的</w:t>
        <w:br/>
        <w:t>RFLP 轻量化项目执行规划</w:t>
      </w:r>
    </w:p>
    <w:p>
      <w:pPr>
        <w:spacing w:after="360"/>
      </w:pPr>
      <w:r>
        <w:rPr>
          <w:rFonts w:ascii="Arial" w:hAnsi="Arial" w:eastAsia="Microsoft YaHei"/>
          <w:color w:val="667085"/>
          <w:sz w:val="26"/>
        </w:rPr>
        <w:t>从多源工程文档到统一语义、架构候选、可执行仿真、任务契约与验证证据</w:t>
      </w:r>
    </w:p>
    <w:p>
      <w:pPr>
        <w:spacing w:before="40" w:after="160"/>
        <w:pBdr>
          <w:bottom w:val="single" w:sz="16" w:space="1" w:color="F2B233"/>
        </w:pBdr>
      </w:pP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规划定位: </w:t>
      </w:r>
      <w:r>
        <w:rPr>
          <w:rFonts w:ascii="Arial" w:hAnsi="Arial" w:eastAsia="Microsoft YaHei"/>
          <w:color w:val="243746"/>
          <w:sz w:val="21"/>
        </w:rPr>
        <w:t>研究原型 / 可演示工具 / 后续论文实验平台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推荐形态: </w:t>
      </w:r>
      <w:r>
        <w:rPr>
          <w:rFonts w:ascii="Arial" w:hAnsi="Arial" w:eastAsia="Microsoft YaHei"/>
          <w:color w:val="243746"/>
          <w:sz w:val="21"/>
        </w:rPr>
        <w:t>单进程模块化内核 + Ports/Adapters + 可选增强包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适用团队: </w:t>
      </w:r>
      <w:r>
        <w:rPr>
          <w:rFonts w:ascii="Arial" w:hAnsi="Arial" w:eastAsia="Microsoft YaHei"/>
          <w:color w:val="243746"/>
          <w:sz w:val="21"/>
        </w:rPr>
        <w:t>单人或 2-3 人小型研究开发团队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建议周期: </w:t>
      </w:r>
      <w:r>
        <w:rPr>
          <w:rFonts w:ascii="Arial" w:hAnsi="Arial" w:eastAsia="Microsoft YaHei"/>
          <w:color w:val="243746"/>
          <w:sz w:val="21"/>
        </w:rPr>
        <w:t>14 周；先形成可运行闭环，再增强智能化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color w:val="17365D"/>
          <w:sz w:val="21"/>
        </w:rPr>
        <w:t xml:space="preserve">版本日期: </w:t>
      </w:r>
      <w:r>
        <w:rPr>
          <w:rFonts w:ascii="Arial" w:hAnsi="Arial" w:eastAsia="Microsoft YaHei"/>
          <w:color w:val="243746"/>
          <w:sz w:val="21"/>
        </w:rPr>
        <w:t>v1.0  |  2026 年 8 月</w:t>
      </w:r>
    </w:p>
    <w:p>
      <w:pPr>
        <w:spacing w:before="840" w:after="100"/>
      </w:pPr>
      <w:r>
        <w:rPr>
          <w:rFonts w:ascii="Arial" w:hAnsi="Arial" w:eastAsia="Microsoft YaHei"/>
          <w:b/>
          <w:color w:val="667085"/>
          <w:sz w:val="20"/>
        </w:rPr>
        <w:t>编制依据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MagicGrid®知识体系（第二版）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MBSE 实践案例 Toothbrush</w:t>
      </w:r>
    </w:p>
    <w:p>
      <w:pPr>
        <w:spacing w:after="40"/>
        <w:ind w:left="259"/>
      </w:pPr>
      <w:r>
        <w:rPr>
          <w:rFonts w:ascii="Arial" w:hAnsi="Arial" w:eastAsia="Microsoft YaHei"/>
          <w:color w:val="667085"/>
          <w:sz w:val="19"/>
        </w:rPr>
        <w:t>MBSE_RFLP_AI_Agent_Report v0.1</w:t>
      </w:r>
    </w:p>
    <w:p>
      <w:r>
        <w:br w:type="page"/>
      </w:r>
    </w:p>
    <w:p>
      <w:pPr>
        <w:pStyle w:val="Heading1"/>
        <w:keepNext/>
        <w:keepLines/>
      </w:pPr>
      <w:r>
        <w:t>执行结论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核心建议  </w:t>
      </w:r>
      <w:r>
        <w:rPr>
          <w:rFonts w:ascii="Arial" w:hAnsi="Arial" w:eastAsia="Microsoft YaHei"/>
          <w:color w:val="243746"/>
          <w:sz w:val="21"/>
        </w:rPr>
        <w:t>不要把第三份报告的研究终态一次性做成首版系统。首版应采用一个可离线运行的单进程模块化内核，以内部 Canonical RFLP Model 作为事务性真源，以 SQLite/JSON 作为默认存储，以确定性规则和可审查补丁控制 LLM，并把离散事件仿真、约束验证和 Evidence 回写纳入核心闭环。SysML v2、CP-SAT、LLM、FastAPI均通过适配器按需启用，不成为安装前置条件。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这套收敛方案保留原报告最有价值的五条主线：Claim 与权威模型分离、RFLP 分层综合、L/P 候选与 Trade Study、目标/实现模型求差、TaskContract 与证据回写；同时把重型基础设施从主链移出，使项目能够先证明研究假设，再逐步提高智能化程度。</w:t>
      </w:r>
    </w:p>
    <w:p>
      <w:pPr>
        <w:pStyle w:val="Heading2"/>
        <w:keepNext/>
        <w:keepLines/>
      </w:pPr>
      <w:r>
        <w:t>需要保留、调整和后移的内容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152"/>
        <w:gridCol w:w="3240"/>
        <w:gridCol w:w="4968"/>
      </w:tblGrid>
      <w:tr>
        <w:trPr>
          <w:tblHeader w:val="true"/>
        </w:trPr>
        <w:tc>
          <w:tcPr>
            <w:tcW w:type="dxa" w:w="115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处理</w:t>
            </w:r>
          </w:p>
        </w:tc>
        <w:tc>
          <w:tcPr>
            <w:tcW w:type="dxa" w:w="32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原报告内容</w:t>
            </w:r>
          </w:p>
        </w:tc>
        <w:tc>
          <w:tcPr>
            <w:tcW w:type="dxa" w:w="496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本规划决策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SemanticClaim 与 ModelElement 分离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作为整个系统的信任边界；原始断言永不直接覆盖已批准基线。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保留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R-F-L-P 跨层关系与目标/实现模型求差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作为可追溯、可计算和可生成任务的核心语义。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SysML v2 权威仓库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首版由 Canonical RFLP Model 承担事务真源；SysML v2 作为确定性投影和可替换仓库适配器。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PostgreSQL + pgvector + Neo4j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默认 SQLite + FTS5 + 邻接表/递归查询；仅在数据量和协作需求出现后升级。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OR-Tools + Z3 双求解器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首版用规则、剪枝枚举和可解释评分；CP-SAT 作为 opt 扩展，Z3 延后。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调整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LangGraph / 多 Agent 编排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首版使用 Python graphlib.TopologicalSorter 和显式状态机；Agent 只是受控执行器。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后移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专用 Transformer、图形化 SysML 编辑器、多语言代码理解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在闭环和评价基线稳定后再做，避免研究变量互相污染。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目录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方法论映射与项目定位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范围、架构驱动与验收目标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轻量化总体架构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统一语义与 RFLP 核心数据模型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核心子系统设计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仿真与验证闭环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安装、依赖与工程结构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端到端工作流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14 周实施计划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测试、实验与评价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Microsoft YaHei"/>
          <w:color w:val="243746"/>
          <w:sz w:val="22"/>
        </w:rPr>
        <w:t>风险、治理与最终交付</w:t>
      </w:r>
    </w:p>
    <w:p>
      <w:r>
        <w:br w:type="page"/>
      </w:r>
    </w:p>
    <w:p>
      <w:pPr>
        <w:pStyle w:val="Heading1"/>
        <w:keepNext/>
        <w:keepLines/>
      </w:pPr>
      <w:r>
        <w:t>方法论映射与项目定位</w:t>
      </w:r>
    </w:p>
    <w:p>
      <w:pPr>
        <w:pStyle w:val="Heading2"/>
        <w:keepNext/>
        <w:keepLines/>
      </w:pPr>
      <w:r>
        <w:t>三个材料如何共同约束本项目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MagicGrid 将系统工程组织为问题域、解决方案域和实现域，并分别从需求、结构、行为、参数等角度生成相互连接的模型工件；问题域先黑盒后白盒，解决方案域允许多套架构候选并通过权衡形成配置，最后再进入实现域 [1, pp.11, 14, 66, 113, 117, 256, 288]。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Toothbrush 案例把方法落实成一条易理解的教学链：利益相关方与环境 -&gt; 需求与生命周期 -&gt; 用例和运行场景 -&gt; 功能分解与交互 -&gt; 逻辑组件 -&gt; 物理构建模块 -&gt; 技术需求 [2, slides 9-40]。这个案例的价值不在牙刷本身，而在于每一步都有明确输入、视图、关系和交付物。</w:t>
      </w:r>
    </w:p>
    <w:p>
      <w:pPr>
        <w:spacing w:before="0" w:after="120" w:line="300" w:lineRule="auto"/>
        <w:ind w:firstLine="403"/>
        <w:jc w:val="left"/>
      </w:pPr>
      <w:r>
        <w:rPr>
          <w:rFonts w:ascii="Arial" w:hAnsi="Arial" w:eastAsia="Microsoft YaHei"/>
          <w:color w:val="243746"/>
          <w:sz w:val="22"/>
        </w:rPr>
        <w:t>第三份报告进一步把这条链迁移到 AI Agent 软件开发：多源文档先被编译为带来源的 Claim，再建立 RFLP 模型，产生 L/P 候选和架构基线，通过目标模型与实际实现模型求差生成 TaskContract，并以代码、测试和性能 Evidence 回写 [3, pp.2-12]。本规划的任务是让这条研究主线真正能安装、能运行、能仿真、能做实验。</w:t>
      </w:r>
    </w:p>
    <w:p>
      <w:pPr>
        <w:pStyle w:val="Heading2"/>
        <w:keepNext/>
        <w:keepLines/>
      </w:pPr>
      <w:r>
        <w:t>MagicGrid - RFLP - 软件工程映射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792"/>
        <w:gridCol w:w="3456"/>
        <w:gridCol w:w="3456"/>
      </w:tblGrid>
      <w:tr>
        <w:trPr>
          <w:tblHeader w:val="true"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MagicGrid 视角</w:t>
            </w:r>
          </w:p>
        </w:tc>
        <w:tc>
          <w:tcPr>
            <w:tcW w:type="dxa" w:w="7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RFLP 层</w:t>
            </w:r>
          </w:p>
        </w:tc>
        <w:tc>
          <w:tcPr>
            <w:tcW w:type="dxa" w:w="34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本项目对象</w:t>
            </w:r>
          </w:p>
        </w:tc>
        <w:tc>
          <w:tcPr>
            <w:tcW w:type="dxa" w:w="34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首版交付物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问题域 / 黑盒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涉众需求、上下文、用例、MoE、验收意图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Requirement、Constraint、Scenario、VerificationIntent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问题域 / 白盒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功能分解、I/O、状态变化、功能场景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Function、Flow、StateTransition、R-F 覆盖报告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解决方案域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L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职责聚合、状态所有权、接口、事务与安全边界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2-3 套 LogicalCandidate、接口闭合报告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实现域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模块、数据库、模型服务、部署节点、资源与许可证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PhysicalCandidate、ComponentContract、配置基线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贯穿全域</w:t>
            </w:r>
          </w:p>
        </w:tc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V/E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验证用例、仿真、测试、性能与变更证据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VerificationCase、SimulationTrace、Evidence、Baseline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项目一句话定义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项目定义  </w:t>
      </w:r>
      <w:r>
        <w:rPr>
          <w:rFonts w:ascii="Arial" w:hAnsi="Arial" w:eastAsia="Microsoft YaHei"/>
          <w:color w:val="243746"/>
          <w:sz w:val="21"/>
        </w:rPr>
        <w:t>RFLP-Lite 是一个面向 AI Agent 软件开发的轻量化系统工程控制层：它将多源工程文本编译为可追溯模型，用 RFLP 缩小设计空间，用仿真和约束验证候选方案，用模型差异生成受约束任务，并以实现证据更新基线。</w:t>
      </w:r>
    </w:p>
    <w:p>
      <w:pPr>
        <w:pStyle w:val="Heading1"/>
        <w:keepNext/>
        <w:keepLines/>
      </w:pPr>
      <w:r>
        <w:t>范围、架构驱动与验收目标</w:t>
      </w:r>
    </w:p>
    <w:p>
      <w:pPr>
        <w:pStyle w:val="Heading2"/>
        <w:keepNext/>
        <w:keepLines/>
      </w:pPr>
      <w:r>
        <w:t>首版范围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一个软件领域、一个参考项目和固定 Python 技术栈；代表性需求 10-20 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支持 Markdown、结构化 JSON、Python 源码、OpenAPI JSON 和测试结果；DOCX 为可选扩展。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完成 Artifact -&gt; TextSpan -&gt; Claim -&gt; R/F/L/P -&gt; Baseline -&gt; Delta -&gt; TaskContract -&gt; Evidence 的闭环。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生成 2-3 套逻辑架构候选和有限的 P 层配置；每次求解设置候选数和时间上限。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支持离散事件、状态转换、资源约束、故障注入、参数扫描和 Monte Carlo 的可执行子集。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只做 Python AST、OpenAPI 和 pytest/JUnit 证据抽取，不做通用多语言程序理解。</w:t>
      </w:r>
    </w:p>
    <w:p>
      <w:pPr>
        <w:pStyle w:val="Heading2"/>
        <w:keepNext/>
        <w:keepLines/>
      </w:pPr>
      <w:r>
        <w:t>明确不做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不做完整图形化 SysML 编辑器，不复刻 Cameo/MagicDraw。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不在 V1 强制安装 Docker、PostgreSQL、Neo4j、向量数据库、GPU 模型或多个求解器。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不允许 LLM 直接重写基线，不做无人批准的需求确认和架构发布。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不追求端到端文档到 RFLP 的大模型训练；先积累可复用的人工审核轨迹。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不把代码文件直接等同于 P 层组件；ImplementationArtifact 与组件保持显式关系。</w:t>
      </w:r>
    </w:p>
    <w:p>
      <w:pPr>
        <w:pStyle w:val="Heading2"/>
        <w:keepNext/>
        <w:keepLines/>
      </w:pPr>
      <w:r>
        <w:t>架构驱动与可验收质量目标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440"/>
        <w:gridCol w:w="4392"/>
        <w:gridCol w:w="3528"/>
      </w:tblGrid>
      <w:tr>
        <w:trPr>
          <w:tblHeader w:val="true"/>
        </w:trPr>
        <w:tc>
          <w:tcPr>
            <w:tcW w:type="dxa" w:w="14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驱动</w:t>
            </w:r>
          </w:p>
        </w:tc>
        <w:tc>
          <w:tcPr>
            <w:tcW w:type="dxa" w:w="43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V1 目标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验证方式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可安装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核心模式只依赖 Python 3.11+ 标准库；不需要 Docker、数据库服务或 GPU。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全新环境 10 分钟内完成 init -&gt; demo；CI 在三个主流系统执行。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轻资源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核心进程目标内存 &lt; 250 MB，启动 &lt; 2 s；研究数据放在单个 SQLite 文件。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基准脚本记录冷启动、峰值内存和数据库体积。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可追溯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所有已批准元素有来源；所有 verified 需求有 VerificationCase 和 Evidence。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trace check 必须达到 100%，否则禁止发布基线。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可复现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相同输入、配置、基线和随机种子产生相同模型哈希、候选集合和仿真摘要。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Golden test + 双次运行哈希比较。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可扩展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LLM、求解器、存储、代码分析和 SysML 均通过稳定端口替换。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每个端口至少有默认适配器、Fake 和契约测试。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可解释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每次合并、冲突、淘汰、评分、任务生成和验证都能追到规则与证据。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Decision/Conflict/Task/Evidence 审计报告。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推荐参考项目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以“版本化内容服务 VersionedContentService”作为贯穿样例：系统保存内容版本、恢复历史版本、记录审计事件、提供角色权限和查询接口。它能覆盖原报告中的版本恢复示例，又能自然产生状态、事务、接口、并发、性能和故障场景。候选架构可比较模块化单体、端口适配器单体和事件驱动拆分；P 层可比较 JSON 文件、SQLite 和可选 PostgreSQL。</w:t>
      </w:r>
    </w:p>
    <w:p>
      <w:pPr>
        <w:pStyle w:val="Heading1"/>
        <w:keepNext/>
        <w:keepLines/>
        <w:pageBreakBefore/>
      </w:pPr>
      <w:r>
        <w:t>轻量化总体架构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架构形态  </w:t>
      </w:r>
      <w:r>
        <w:rPr>
          <w:rFonts w:ascii="Arial" w:hAnsi="Arial" w:eastAsia="Microsoft YaHei"/>
          <w:color w:val="243746"/>
          <w:sz w:val="21"/>
        </w:rPr>
        <w:t>首版采用单进程模块化单体。模块之间只能通过领域对象、应用服务和端口接口协作，不能相互读取数据库表或调用私有实现。这样既保留清晰边界，又避免微服务、消息队列和分布式事务带来的环境负担。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32250"/>
            <wp:docPr id="1" name="Picture 1" descr="RFLP-Lite modular monolith architecture with interaction, application, domain kernel, ports, and adapters layers" title="RFLP-Lite Overal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Arial" w:hAnsi="Arial" w:eastAsia="Microsoft YaHei"/>
          <w:i/>
          <w:color w:val="667085"/>
          <w:sz w:val="18"/>
        </w:rPr>
        <w:t>图 1  RFLP-Lite 总体架构：领域内核稳定，外部能力均通过端口接入</w:t>
      </w:r>
    </w:p>
    <w:p>
      <w:pPr>
        <w:pStyle w:val="Heading2"/>
        <w:keepNext/>
        <w:keepLines/>
      </w:pPr>
      <w:r>
        <w:t>架构原则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内核先行: </w:t>
      </w:r>
      <w:r>
        <w:rPr>
          <w:rFonts w:ascii="Arial" w:hAnsi="Arial" w:eastAsia="Microsoft YaHei"/>
          <w:color w:val="243746"/>
          <w:sz w:val="22"/>
        </w:rPr>
        <w:t>先把身份、关系、不变量、基线和变更做对，再接 LLM、求解器和 UI。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证据与事实分离: </w:t>
      </w:r>
      <w:r>
        <w:rPr>
          <w:rFonts w:ascii="Arial" w:hAnsi="Arial" w:eastAsia="Microsoft YaHei"/>
          <w:color w:val="243746"/>
          <w:sz w:val="22"/>
        </w:rPr>
        <w:t>Claim 表示来源中的主张，ModelElement 表示被批准的工程事实；冲突可以共存，基线不能被概率输出污染。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确定性包围概率性: </w:t>
      </w:r>
      <w:r>
        <w:rPr>
          <w:rFonts w:ascii="Arial" w:hAnsi="Arial" w:eastAsia="Microsoft YaHei"/>
          <w:color w:val="243746"/>
          <w:sz w:val="22"/>
        </w:rPr>
        <w:t>LLM 只能产生结构化 Claim 或 ModelPatch proposal；校验、合并、版本、求差、仿真、测试和发布由确定性程序控制。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一个默认数据平面: </w:t>
      </w:r>
      <w:r>
        <w:rPr>
          <w:rFonts w:ascii="Arial" w:hAnsi="Arial" w:eastAsia="Microsoft YaHei"/>
          <w:color w:val="243746"/>
          <w:sz w:val="22"/>
        </w:rPr>
        <w:t>SQLite 同时保存对象、关系、别名、基线、任务和证据；FTS5 负责轻量检索，图数据库不进入主链。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仿真是核心能力: </w:t>
      </w:r>
      <w:r>
        <w:rPr>
          <w:rFonts w:ascii="Arial" w:hAnsi="Arial" w:eastAsia="Microsoft YaHei"/>
          <w:color w:val="243746"/>
          <w:sz w:val="22"/>
        </w:rPr>
        <w:t>R 的验收标准、F 的行为、L 的路由和 P 的资源必须能投影到可执行子集，形成真正的设计验证。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标准通过投影接入: </w:t>
      </w:r>
      <w:r>
        <w:rPr>
          <w:rFonts w:ascii="Arial" w:hAnsi="Arial" w:eastAsia="Microsoft YaHei"/>
          <w:color w:val="243746"/>
          <w:sz w:val="22"/>
        </w:rPr>
        <w:t>Canonical Model 保证首版可控；SysML v2 导出/导入由适配器完成并记录投影哈希，后续可替换为标准 API 仓库。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扩展而不膨胀: </w:t>
      </w:r>
      <w:r>
        <w:rPr>
          <w:rFonts w:ascii="Arial" w:hAnsi="Arial" w:eastAsia="Microsoft YaHei"/>
          <w:color w:val="243746"/>
          <w:sz w:val="22"/>
        </w:rPr>
        <w:t>安装 extras 只增加适配器，不改变领域模型和核心工作流。</w:t>
      </w:r>
    </w:p>
    <w:p>
      <w:pPr>
        <w:pStyle w:val="Heading2"/>
        <w:keepNext/>
        <w:keepLines/>
      </w:pPr>
      <w:r>
        <w:t>模块边界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104"/>
        <w:gridCol w:w="3744"/>
      </w:tblGrid>
      <w:tr>
        <w:trPr>
          <w:tblHeader w:val="true"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410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职责</w:t>
            </w:r>
          </w:p>
        </w:tc>
        <w:tc>
          <w:tcPr>
            <w:tcW w:type="dxa" w:w="37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禁止事项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domain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实体、关系、不变量、状态机、基线、变更和领域错误。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不得依赖数据库、HTTP、LLM、框架或文件格式。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application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编排用例：接入、编译、RFLP 综合、候选、权衡、仿真、求差、发布。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不得绕过端口直接访问适配器。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simulation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可执行行为、事件队列、资源、故障、断言、轨迹和指标。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不得把任意 Python eval 作为约束引擎。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ports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ModelStore、LLM、Solver、CodeAnalyzer、Exporter、Clock 等抽象。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不得包含供应商特定字段。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adapters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SQLite、JSON、Python AST、SysML v2、LLM API、CP-SAT、FastAPI。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不得反向定义领域语义。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interface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CLI、静态 HTML 审核报告和可选 API。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不得保存独立业务状态。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</w:pPr>
      <w:r>
        <w:t>统一语义与 RFLP 核心数据模型</w:t>
      </w:r>
    </w:p>
    <w:p>
      <w:pPr>
        <w:pStyle w:val="Heading2"/>
        <w:keepNext/>
        <w:keepLines/>
      </w:pPr>
      <w:r>
        <w:t>四类对象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320"/>
        <w:gridCol w:w="3528"/>
      </w:tblGrid>
      <w:tr>
        <w:trPr>
          <w:tblHeader w:val="true"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对象族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核心类型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身份与版本规则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来源与断言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SourceArtifact、TextSpan、SemanticClaim、Ambiguity、ConflictRecord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来源不可变；Claim 有 producer、confidence、status 和精确 span。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目标模型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Requirement、Constraint、Scenario、Function、LogicalComponent、PhysicalComponent、Interface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稳定 UUID；名称/别名可变；批准后只能经 ChangeRequest 修改。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执行模型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ArchitectureCandidate、Decision、SimulationCase、TaskContract、TaskDAG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绑定输入基线哈希、配置、随机种子和生成规则版本。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实现与证据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ImplementationArtifact、VerificationCase、Evidence、Baseline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Evidence 追加写；Baseline 不可变，可 supersede 不可覆盖。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必须保留的正式关系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Requirement satisfiedBy Function；Requirement verifiedBy VerificationCase。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Function allocatedTo LogicalComponent；LogicalComponent realizedBy PhysicalComponent。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Component provides/requires Interface；Interface transfers DataDefinition。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PhysicalComponent implementedBy ImplementationArtifact；Task realizes ModelElement。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VerificationCase supportedBy Evidence；Decision selects ArchitectureCandidate。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ModelElement derivedFrom Claim；Claim locatedAt TextSpan；Baseline contains ModelElementVersion。</w:t>
      </w:r>
    </w:p>
    <w:p>
      <w:pPr>
        <w:pStyle w:val="Heading2"/>
        <w:keepNext/>
        <w:keepLines/>
      </w:pPr>
      <w:r>
        <w:t>状态与发布门禁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3744"/>
        <w:gridCol w:w="4032"/>
      </w:tblGrid>
      <w:tr>
        <w:trPr>
          <w:tblHeader w:val="true"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对象</w:t>
            </w:r>
          </w:p>
        </w:tc>
        <w:tc>
          <w:tcPr>
            <w:tcW w:type="dxa" w:w="37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状态机</w:t>
            </w:r>
          </w:p>
        </w:tc>
        <w:tc>
          <w:tcPr>
            <w:tcW w:type="dxa" w:w="403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发布规则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candidate -&gt; reviewed -&gt; accepted/rejected/conflict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低置信度、冲突或影响已批准对象时必须人工审核。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ModelPatch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proposed -&gt; validated -&gt; approved -&gt; applied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语法、引用、层级和不变量检查全部通过后才可应用。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ModelElement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draft -&gt; approved -&gt; deprecated/superseded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approved 元素禁止原地静默修改。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Baseline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candidate -&gt; approved -&gt; superseded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内容哈希、父基线、批准记录和配置必须完整。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Evidence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collected -&gt; validated -&gt; accepted/rejected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只有证据解析成功且绑定到正确基线，才能推进 verified 状态。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SQLite 数据平面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默认数据库使用 normalized tables + JSON payload 的混合方案：关键身份、关系、状态和索引字段列化，类型专有属性放入受版本控制的 JSON 字段；每次迁移有 schema_version。关系使用 from_id、relation_type、to_id 三元组，并为两端和类型建立组合索引。影响分析用递归 CTE，全文检索用 FTS5；中文名称对齐额外维护字符 bigram 索引，避免引入分词服务。</w:t>
      </w:r>
    </w:p>
    <w:p>
      <w:pPr>
        <w:spacing w:before="100" w:after="160" w:line="252" w:lineRule="auto"/>
        <w:ind w:left="259" w:right="259"/>
        <w:shd w:fill="F5F7FA" w:val="clear"/>
      </w:pPr>
      <w:r>
        <w:rPr>
          <w:rFonts w:ascii="Consolas" w:hAnsi="Consolas" w:eastAsia="Consolas"/>
          <w:color w:val="1F4D78"/>
          <w:sz w:val="17"/>
        </w:rPr>
        <w:t>artifact | text_span | claim | alias | conflict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model_element | relation | baseline | baseline_member | change_request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candidate | decision | simulation_case | simulation_run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task_contract | task_edge | verification_case | evidence | audit_event</w:t>
      </w:r>
    </w:p>
    <w:p>
      <w:pPr>
        <w:pStyle w:val="Heading2"/>
        <w:keepNext/>
        <w:keepLines/>
      </w:pPr>
      <w:r>
        <w:t>标准兼容策略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OMG 已于 2025 年最终采纳 SysML v2；其正式能力覆盖需求、行为、结构、分析和验证 [4]。因此本项目必须支持 SysML v2，但不应把参考实现的完整运行环境变成首版安装前置。每个 approved baseline 生成确定性的 SysML v2 文本/模型补丁，保存 canonical_hash、projection_hash 和映射报告；后续若替换为 SysML v2 API 仓库，只替换 ModelStore/Exporter 适配器。</w:t>
      </w:r>
    </w:p>
    <w:p>
      <w:pPr>
        <w:pStyle w:val="Heading1"/>
        <w:keepNext/>
        <w:keepLines/>
        <w:pageBreakBefore/>
      </w:pPr>
      <w:r>
        <w:t>核心子系统设计</w:t>
      </w:r>
    </w:p>
    <w:p>
      <w:pPr>
        <w:pStyle w:val="Heading2"/>
        <w:keepNext/>
        <w:keepLines/>
      </w:pPr>
      <w:r>
        <w:t>工程制品接入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接入层先构建文档结构树，再产生 TextSpan，禁止按固定 token 直接切块。Markdown 保留标题、列表、表格与代码块；JSON 保留路径；Python AST 保留文件、符号和行号；OpenAPI 保留 path/method/schema；测试结果保留 case、duration、status 和日志定位。DOCX 解析由 docs extra 提供，不影响核心安装。</w:t>
      </w:r>
    </w:p>
    <w:p>
      <w:pPr>
        <w:pStyle w:val="Heading2"/>
        <w:keepNext/>
        <w:keepLines/>
      </w:pPr>
      <w:r>
        <w:t>工程语义编译器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规则预处理：去除模板噪声，识别 requirement/constraint/interface/task/test 等显式模式。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原子化：一个 Claim 只表达一个主体-谓词-客体或一个可验证义务；数值、单位和条件独立结构化。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实体对齐：精确 ID/别名 -&gt; FTS5/字符 bigram 召回 -&gt; 关系邻域重排 -&gt; 可选 embedding/cross-encoder。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决策：MERGE、REFINE、ALIAS、CONFLICT、CREATE、REVIEW；阈值写入配置并记录命中特征。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Microsoft YaHei"/>
          <w:color w:val="243746"/>
          <w:sz w:val="22"/>
        </w:rPr>
        <w:t>输出 ModelPatch proposal：创建元素、添加别名、创建关系、标记冲突；绝不输出整库覆盖文本。</w:t>
      </w:r>
    </w:p>
    <w:p>
      <w:pPr>
        <w:pStyle w:val="Heading2"/>
        <w:keepNext/>
        <w:keepLines/>
      </w:pPr>
      <w:r>
        <w:t>R/F 综合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R 层由 Requirement、Constraint、Assumption、AcceptanceCriterion 和 VerificationIntent 组成。F 层只从 OperationalScenario、StateTransition 和 Input/OutputTransformation 推导，不能把需求名词机械改成动词。每个 Function 具备输入、输出、前置、后置、副作用和失败模式。</w:t>
      </w:r>
    </w:p>
    <w:p>
      <w:pPr>
        <w:spacing w:before="120" w:after="180" w:line="300" w:lineRule="auto"/>
        <w:ind w:left="115" w:right="115"/>
        <w:pBdr>
          <w:left w:val="single" w:sz="16" w:space="8" w:color="9B1C1C"/>
        </w:pBdr>
        <w:shd w:fill="FCECEC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强制检查  </w:t>
      </w:r>
      <w:r>
        <w:rPr>
          <w:rFonts w:ascii="Arial" w:hAnsi="Arial" w:eastAsia="Microsoft YaHei"/>
          <w:color w:val="243746"/>
          <w:sz w:val="21"/>
        </w:rPr>
        <w:t>R-F 覆盖、输入来源、输出消费者、不可达功能、无终止循环、跨层实现细节泄漏，以及每个定量要求是否有可执行约束。</w:t>
      </w:r>
    </w:p>
    <w:p>
      <w:pPr>
        <w:pStyle w:val="Heading2"/>
        <w:keepNext/>
        <w:keepLines/>
      </w:pPr>
      <w:r>
        <w:t>L 层候选生成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首版不直接做复杂图优化。先由功能耦合图计算 data sharing、call frequency、transaction consistency、state ownership、security domain 和 deployment isolation，再用三种可解释模式模板生成候选：模块化单体、端口适配器分层单体、受控事件驱动拆分。应用 must-link、cannot-link、唯一状态所有权和最大组件规模约束，保留最多 3 套候选。</w:t>
      </w:r>
    </w:p>
    <w:p>
      <w:pPr>
        <w:pStyle w:val="Heading2"/>
        <w:keepNext/>
        <w:keepLines/>
      </w:pPr>
      <w:r>
        <w:t>P 层配置与 Trade Study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每个物理候选用 ComponentContract 描述 realizes、provides、requires、quality、resource、license、version 和 evidence。默认求解器采用能力匹配、依赖闭包、硬约束剪枝和有限枚举；可选 CP-SAT 适配器处理更大的离散配置问题。CP-SAT 适合整数约束，因此非整数指标需要缩放为整数，并应设置求解时间和候选数量上限 [6]。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4536"/>
        <w:gridCol w:w="3168"/>
      </w:tblGrid>
      <w:tr>
        <w:trPr>
          <w:tblHeader w:val="true"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45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处理</w:t>
            </w:r>
          </w:p>
        </w:tc>
        <w:tc>
          <w:tcPr>
            <w:tcW w:type="dxa" w:w="316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输出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硬约束过滤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能力、接口、资源、部署域、许可证、版本、互斥和依赖。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可行候选与不可行原因。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Pareto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开发量、接口数、成本、性能、风险、维护性、本地可控性。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非支配候选集合。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决策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归一化加权效用 + 权重敏感性；估计值保留区间。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推荐基线、备选方案和翻转条件。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实测回填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仿真、benchmark 和运行证据替换 Estimated。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更新后的 Decision，不篡改历史结论。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实现抽取、模型求差与任务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首版 ActualModel 由 Python ast、OpenAPI JSON、迁移/DDL 清单、pytest/JUnit XML 和部署清单确定性抽取。Delta 类型固定为 MISSING、EXTRA、MISMATCH、UNVERIFIED、OUTDATED 和 UNALLOCATED。TaskContract 必须包含 targets、read_set、write_set、invariants、expected_model_delta、acceptance 和 evidence_requirements。任务依赖使用标准库 graphlib.TopologicalSorter 生成 DAG，并检查环依赖和同文件并发写。</w:t>
      </w:r>
    </w:p>
    <w:p>
      <w:pPr>
        <w:pStyle w:val="Heading1"/>
        <w:keepNext/>
        <w:keepLines/>
        <w:pageBreakBefore/>
      </w:pPr>
      <w:r>
        <w:t>仿真与验证闭环</w:t>
      </w:r>
    </w:p>
    <w:p>
      <w:pPr>
        <w:spacing w:before="120" w:after="180" w:line="300" w:lineRule="auto"/>
        <w:ind w:left="115" w:right="115"/>
        <w:pBdr>
          <w:left w:val="single" w:sz="16" w:space="8" w:color="2E74B5"/>
        </w:pBdr>
        <w:shd w:fill="F4F7FB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定位  </w:t>
      </w:r>
      <w:r>
        <w:rPr>
          <w:rFonts w:ascii="Arial" w:hAnsi="Arial" w:eastAsia="Microsoft YaHei"/>
          <w:color w:val="243746"/>
          <w:sz w:val="21"/>
        </w:rPr>
        <w:t>不实现完整 fUML/SysML 执行器，而是定义一个与 RFLP 对象一一映射的、可测试的执行语义子集。这个子集用于比较候选、发现缺失行为和生成验证证据；超出子集的模型必须明确标记为 non-executable。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12898"/>
            <wp:docPr id="2" name="Picture 2" descr="Deterministic simulation loop from scenario and event queue through behavior, state update, constraints, and evidence" title="Simulation and Verification 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Arial" w:hAnsi="Arial" w:eastAsia="Microsoft YaHei"/>
          <w:i/>
          <w:color w:val="667085"/>
          <w:sz w:val="18"/>
        </w:rPr>
        <w:t>图 2  仿真执行闭环：模型输入、事件推进、约束判断和证据输出均可复现</w:t>
      </w:r>
    </w:p>
    <w:p>
      <w:pPr>
        <w:pStyle w:val="Heading2"/>
        <w:keepNext/>
        <w:keepLines/>
      </w:pPr>
      <w:r>
        <w:t>可执行语义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2376"/>
        <w:gridCol w:w="4320"/>
        <w:gridCol w:w="2664"/>
      </w:tblGrid>
      <w:tr>
        <w:trPr>
          <w:tblHeader w:val="true"/>
        </w:trPr>
        <w:tc>
          <w:tcPr>
            <w:tcW w:type="dxa" w:w="23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RFLP 信息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仿真投影</w:t>
            </w:r>
          </w:p>
        </w:tc>
        <w:tc>
          <w:tcPr>
            <w:tcW w:type="dxa" w:w="266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验证结果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R: Constraint / AcceptanceCriterion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安全表达式断言、阈值、时间窗、覆盖条件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pass/fail、首次违规时刻、反例轨迹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F: Function / Flow / StateTransition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纯行为处理器、事件、输入输出、guard、前后置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功能可达性、死路、未消费输出、异常分支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L: Component / Interface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状态所有权、事件路由、同步/异步、队列和错误语义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接口闭合、循环依赖、时序和一致性风险</w:t>
            </w:r>
          </w:p>
        </w:tc>
      </w:tr>
      <w:tr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P: Resource / Deployment / Failure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容量、服务时间、并发度、故障率、恢复策略、成本</w:t>
            </w:r>
          </w:p>
        </w:tc>
        <w:tc>
          <w:tcPr>
            <w:tcW w:type="dxa" w:w="2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延迟、吞吐、资源占用、可靠性和成本分布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实现方式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Event 使用 time、priority、sequence、kind、target、payload；heapq 保证稳定顺序。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Behavior handler 接收只读上下文并返回 state delta、resource delta 和新事件，避免隐式全局状态。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约束表达式只允许白名单 AST 节点、字段和函数；禁止 eval、文件访问和网络访问。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同一 seed 下随机源、事件排序、候选顺序和浮点舍入策略固定；输出 canonical JSON。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每条 trace event 绑定 scenario、model element、baseline、candidate 和 code version。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仿真失败不直接改变模型；它生成 Evidence 和 Issue/ChangeRequest。</w:t>
      </w:r>
    </w:p>
    <w:p>
      <w:pPr>
        <w:pStyle w:val="Heading2"/>
        <w:keepNext/>
        <w:keepLines/>
      </w:pPr>
      <w:r>
        <w:t>四种仿真模式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656"/>
        <w:gridCol w:w="3528"/>
        <w:gridCol w:w="4176"/>
      </w:tblGrid>
      <w:tr>
        <w:trPr>
          <w:tblHeader w:val="true"/>
        </w:trPr>
        <w:tc>
          <w:tcPr>
            <w:tcW w:type="dxa" w:w="165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模式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目的</w:t>
            </w:r>
          </w:p>
        </w:tc>
        <w:tc>
          <w:tcPr>
            <w:tcW w:type="dxa" w:w="41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示例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单场景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验证行为链与验收条件。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恢复 V1 后 active_ref 改变，V2/V3 保留，审计事件存在。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参数扫描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识别阈值和设计边界。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并发数 1-100、服务时间和队列容量组合。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Monte Carlo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处理 Estimated 指标和随机故障。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故障率、重试延迟、API 成本和排名概率。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故障注入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验证降级、恢复和不变量。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写入中断、重复消息、超时、组件不可用。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仿真首版验收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同一案例连续运行两次，事件序列和摘要哈希一致。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至少覆盖 5 个正常场景、3 个边界场景和 3 个故障场景。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能够自动比较 2-3 套 L/P 候选，并输出指标、失败需求和反例轨迹。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每个 Requirement 的仿真验证结果都能追到 VerificationCase 和 Evidence。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10,000 个事件的基准目标在普通笔记本上 2 秒级完成；达不到时先优化数据结构，不引入分布式系统。</w:t>
      </w:r>
    </w:p>
    <w:p>
      <w:pPr>
        <w:pStyle w:val="Heading1"/>
        <w:keepNext/>
        <w:keepLines/>
      </w:pPr>
      <w:r>
        <w:t>安装、依赖与工程结构</w:t>
      </w:r>
    </w:p>
    <w:p>
      <w:pPr>
        <w:pStyle w:val="Heading2"/>
        <w:keepNext/>
        <w:keepLines/>
      </w:pPr>
      <w:r>
        <w:t>依赖分层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080"/>
        <w:gridCol w:w="4392"/>
        <w:gridCol w:w="3888"/>
      </w:tblGrid>
      <w:tr>
        <w:trPr>
          <w:tblHeader w:val="true"/>
        </w:trPr>
        <w:tc>
          <w:tcPr>
            <w:tcW w:type="dxa" w:w="10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安装档</w:t>
            </w:r>
          </w:p>
        </w:tc>
        <w:tc>
          <w:tcPr>
            <w:tcW w:type="dxa" w:w="43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依赖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能力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Python 3.11+ 标准库：dataclasses、sqlite3、json、ast、heapq、graphlib、argparse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完整离线闭环、规则编译、RFLP、仿真、求差、任务和静态报告。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pydantic + httpx；连接本地或远程 OpenAI-compatible structured output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复杂 Claim 抽取、低置信度对齐和候选解释。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docs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python-docx + markdown-it-py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高保真 DOCX/Markdown 结构解析。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opt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ortools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较大 L/P 配置的 CP-SAT 求解。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api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fastapi + uvicorn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多人审核或外部 Agent 调用；不是本地首版前置。</w:t>
            </w:r>
          </w:p>
        </w:tc>
      </w:tr>
      <w:t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ml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sentence-transformers / cross-encoder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仅在标注集证明 FTS5 召回不足后启用。</w:t>
            </w:r>
          </w:p>
        </w:tc>
      </w:tr>
    </w:tbl>
    <w:p>
      <w:pPr>
        <w:spacing w:before="40" w:after="60"/>
      </w:pP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SQLite FTS5 是 SQLite 的官方全文检索扩展，可在单文件数据库中建立虚拟全文索引 [5]。程序启动时必须执行 capability probe：如果当前 Python 的 SQLite 未启用 FTS5，则自动退化到别名精确匹配 + 字符 bigram 索引，而不是安装失败。</w:t>
      </w:r>
    </w:p>
    <w:p>
      <w:pPr>
        <w:pStyle w:val="Heading2"/>
        <w:keepNext/>
        <w:keepLines/>
      </w:pPr>
      <w:r>
        <w:t>建议安装体验</w:t>
      </w:r>
    </w:p>
    <w:p>
      <w:pPr>
        <w:spacing w:before="100" w:after="160" w:line="252" w:lineRule="auto"/>
        <w:ind w:left="259" w:right="259"/>
        <w:shd w:fill="F5F7FA" w:val="clear"/>
      </w:pPr>
      <w:r>
        <w:rPr>
          <w:rFonts w:ascii="Consolas" w:hAnsi="Consolas" w:eastAsia="Consolas"/>
          <w:color w:val="1F4D78"/>
          <w:sz w:val="17"/>
        </w:rPr>
        <w:t>python -m venv .venv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.venv/bin/pip install -e .                 # core; no Docker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.venv/bin/pip install -e '.[ai,docs,opt]'  # research profile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rflp init demo-project</w:t>
      </w:r>
      <w:r>
        <w:rPr>
          <w:rFonts w:ascii="Consolas" w:hAnsi="Consolas" w:eastAsia="Consolas"/>
          <w:color w:val="1F4D78"/>
          <w:sz w:val="17"/>
        </w:rPr>
        <w:br/>
      </w:r>
      <w:r>
        <w:rPr>
          <w:rFonts w:ascii="Consolas" w:hAnsi="Consolas" w:eastAsia="Consolas"/>
          <w:color w:val="1F4D78"/>
          <w:sz w:val="17"/>
        </w:rPr>
        <w:t>rflp demo --seed 42</w:t>
      </w:r>
    </w:p>
    <w:p>
      <w:pPr>
        <w:spacing w:before="120" w:after="180" w:line="300" w:lineRule="auto"/>
        <w:ind w:left="115" w:right="115"/>
        <w:pBdr>
          <w:left w:val="single" w:sz="16" w:space="8" w:color="9B1C1C"/>
        </w:pBdr>
        <w:shd w:fill="FCECEC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安装门禁  </w:t>
      </w:r>
      <w:r>
        <w:rPr>
          <w:rFonts w:ascii="Arial" w:hAnsi="Arial" w:eastAsia="Microsoft YaHei"/>
          <w:color w:val="243746"/>
          <w:sz w:val="21"/>
        </w:rPr>
        <w:t>任何核心功能不得通过隐式导入可选包来失败。每个 optional adapter 必须延迟导入，并在缺包时给出明确的 pip extra 提示。</w:t>
      </w:r>
    </w:p>
    <w:p>
      <w:pPr>
        <w:pStyle w:val="Heading2"/>
        <w:keepNext/>
        <w:keepLines/>
      </w:pPr>
      <w:r>
        <w:t>建议仓库结构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路径</w:t>
            </w:r>
          </w:p>
        </w:tc>
        <w:tc>
          <w:tcPr>
            <w:tcW w:type="dxa" w:w="61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内容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src/rflp_lite/domain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entities.py、relations.py、invariants.py、baseline.py、errors.py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src/rflp_lite/application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ingest.py、compile.py、synthesize.py、candidate.py、decide.py、diff.py、tasks.py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src/rflp_lite/simulation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events.py、engine.py、behavior.py、resources.py、constraints.py、evidence.py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src/rflp_lite/ports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store.py、llm.py、solver.py、analyzer.py、exporter.py、clock.py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src/rflp_lite/adapters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sqlite.py、json_io.py、python_ast.py、sysml_v2.py、llm_api.py、cp_sat.py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src/rflp_lite/interface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cli.py、report.py、optional_api.py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schemas / examples / tests</w:t>
            </w:r>
          </w:p>
        </w:tc>
        <w:tc>
          <w:tcPr>
            <w:tcW w:type="dxa" w:w="6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版本化 JSON Schema、参考项目、golden 文件、unit/contract/e2e/perf 测试。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核心 CLI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944"/>
        <w:gridCol w:w="4032"/>
        <w:gridCol w:w="3384"/>
      </w:tblGrid>
      <w:tr>
        <w:trPr>
          <w:tblHeader w:val="true"/>
        </w:trPr>
        <w:tc>
          <w:tcPr>
            <w:tcW w:type="dxa" w:w="194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命令</w:t>
            </w:r>
          </w:p>
        </w:tc>
        <w:tc>
          <w:tcPr>
            <w:tcW w:type="dxa" w:w="403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作用</w:t>
            </w:r>
          </w:p>
        </w:tc>
        <w:tc>
          <w:tcPr>
            <w:tcW w:type="dxa" w:w="33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主要输出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ingest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接入文档、代码和证据。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Artifact + TextSpan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compile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生成、对齐和审核 Claim。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 + Conflict + Patch proposal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build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构建 R/F 并生成 L/P 候选。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 + Candidate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check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执行层级、引用、覆盖和接口检查。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ConsistencyReport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simulate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运行场景、扫描或故障注入。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Trace + Metrics + Evidence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decide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硬约束、Pareto、敏感性和基线推荐。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Decision + Baseline proposal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diff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目标与实际实现求差。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DeltaSet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task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生成 TaskContract 和 DAG。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TaskContract JSON</w:t>
            </w:r>
          </w:p>
        </w:tc>
      </w:tr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export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导出 SysML v2、JSON 和静态报告。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Projection + mapping report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  <w:pageBreakBefore/>
      </w:pPr>
      <w:r>
        <w:t>端到端工作流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初始化: </w:t>
      </w:r>
      <w:r>
        <w:rPr>
          <w:rFonts w:ascii="Arial" w:hAnsi="Arial" w:eastAsia="Microsoft YaHei"/>
          <w:color w:val="243746"/>
          <w:sz w:val="22"/>
        </w:rPr>
        <w:t>创建 project.toml、SQLite 数据库、schema_version、默认规则和空基线。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接入: </w:t>
      </w:r>
      <w:r>
        <w:rPr>
          <w:rFonts w:ascii="Arial" w:hAnsi="Arial" w:eastAsia="Microsoft YaHei"/>
          <w:color w:val="243746"/>
          <w:sz w:val="22"/>
        </w:rPr>
        <w:t>解析工程文档、对话导出、代码和测试结果，生成不可变来源定位。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编译: </w:t>
      </w:r>
      <w:r>
        <w:rPr>
          <w:rFonts w:ascii="Arial" w:hAnsi="Arial" w:eastAsia="Microsoft YaHei"/>
          <w:color w:val="243746"/>
          <w:sz w:val="22"/>
        </w:rPr>
        <w:t>规则与可选 LLM 输出原子 Claim；实体对齐产生 MERGE/REFINE/ALIAS/CONFLICT/CREATE/REVIEW。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审核: </w:t>
      </w:r>
      <w:r>
        <w:rPr>
          <w:rFonts w:ascii="Arial" w:hAnsi="Arial" w:eastAsia="Microsoft YaHei"/>
          <w:color w:val="243746"/>
          <w:sz w:val="22"/>
        </w:rPr>
        <w:t>静态 HTML/CLI 展示来源、候选对象、关系邻域和影响；确认后形成 ModelPatch。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构建 R/F: </w:t>
      </w:r>
      <w:r>
        <w:rPr>
          <w:rFonts w:ascii="Arial" w:hAnsi="Arial" w:eastAsia="Microsoft YaHei"/>
          <w:color w:val="243746"/>
          <w:sz w:val="22"/>
        </w:rPr>
        <w:t>从需求、场景、状态和 I/O 生成 R/F；执行覆盖与行为完整性检查。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生成 L/P: </w:t>
      </w:r>
      <w:r>
        <w:rPr>
          <w:rFonts w:ascii="Arial" w:hAnsi="Arial" w:eastAsia="Microsoft YaHei"/>
          <w:color w:val="243746"/>
          <w:sz w:val="22"/>
        </w:rPr>
        <w:t>模式模板 + 约束剪枝得到 2-3 套候选，并补齐接口和能力契约。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仿真和权衡: </w:t>
      </w:r>
      <w:r>
        <w:rPr>
          <w:rFonts w:ascii="Arial" w:hAnsi="Arial" w:eastAsia="Microsoft YaHei"/>
          <w:color w:val="243746"/>
          <w:sz w:val="22"/>
        </w:rPr>
        <w:t>先用可执行场景过滤不可行候选，再做 Pareto、加权效用和敏感性分析。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批准基线: </w:t>
      </w:r>
      <w:r>
        <w:rPr>
          <w:rFonts w:ascii="Arial" w:hAnsi="Arial" w:eastAsia="Microsoft YaHei"/>
          <w:color w:val="243746"/>
          <w:sz w:val="22"/>
        </w:rPr>
        <w:t>记录候选集合、淘汰原因、权重、证据、假设、批准人和哈希。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抽取实际模型: </w:t>
      </w:r>
      <w:r>
        <w:rPr>
          <w:rFonts w:ascii="Arial" w:hAnsi="Arial" w:eastAsia="Microsoft YaHei"/>
          <w:color w:val="243746"/>
          <w:sz w:val="22"/>
        </w:rPr>
        <w:t>由 Python AST、OpenAPI、测试与部署制品建立 ActualModel。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求差与任务: </w:t>
      </w:r>
      <w:r>
        <w:rPr>
          <w:rFonts w:ascii="Arial" w:hAnsi="Arial" w:eastAsia="Microsoft YaHei"/>
          <w:color w:val="243746"/>
          <w:sz w:val="22"/>
        </w:rPr>
        <w:t>生成 Delta、TaskContract 和 DAG；Agent 只收到最小模型切片和允许写范围。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Microsoft YaHei"/>
          <w:b/>
          <w:color w:val="243746"/>
          <w:sz w:val="22"/>
        </w:rPr>
        <w:t xml:space="preserve">执行与回写: </w:t>
      </w:r>
      <w:r>
        <w:rPr>
          <w:rFonts w:ascii="Arial" w:hAnsi="Arial" w:eastAsia="Microsoft YaHei"/>
          <w:color w:val="243746"/>
          <w:sz w:val="22"/>
        </w:rPr>
        <w:t>静态检查、单测、契约测试、模型一致性和仿真回归均通过后，接受 Evidence 并更新状态。</w:t>
      </w:r>
    </w:p>
    <w:p>
      <w:pPr>
        <w:pStyle w:val="Heading2"/>
        <w:keepNext/>
        <w:keepLines/>
      </w:pPr>
      <w:r>
        <w:t>一次完整演示应看到什么</w:t>
      </w: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输入两份互相冲突的规划文档和一个未实现恢复接口的 Python 项目。系统识别别名与冲突，审核后构建 R/F；生成三套 L/P 候选；仿真发现某事件驱动候选在重复消息下违反“只产生一次恢复审计事件”的要求；系统淘汰该候选并批准模块化单体基线；Python AST 求差得到 MISSING_INTERFACE_IMPLEMENTATION，生成受限 TaskContract；代码与测试完成后，Evidence 回写并将需求推进到 verified。</w:t>
      </w:r>
    </w:p>
    <w:p>
      <w:pPr>
        <w:pStyle w:val="Heading1"/>
        <w:keepNext/>
        <w:keepLines/>
      </w:pPr>
      <w:r>
        <w:t>14 周实施计划</w:t>
      </w:r>
    </w:p>
    <w:p>
      <w:pPr>
        <w:spacing w:before="120" w:after="180" w:line="300" w:lineRule="auto"/>
        <w:ind w:left="115" w:right="115"/>
        <w:pBdr>
          <w:left w:val="single" w:sz="16" w:space="8" w:color="F2B233"/>
        </w:pBdr>
        <w:shd w:fill="FFF5D6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节奏原则  </w:t>
      </w:r>
      <w:r>
        <w:rPr>
          <w:rFonts w:ascii="Arial" w:hAnsi="Arial" w:eastAsia="Microsoft YaHei"/>
          <w:color w:val="243746"/>
          <w:sz w:val="21"/>
        </w:rPr>
        <w:t>每个阶段都必须产出可运行软件、测试和可复现样例。禁止连续数周只写 Schema、Prompt 或架构文档。下一阶段开始前，上一阶段的退出标准必须通过。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691"/>
        <w:gridCol w:w="4320"/>
        <w:gridCol w:w="2765"/>
      </w:tblGrid>
      <w:tr>
        <w:trPr>
          <w:tblHeader w:val="true"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691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周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主要工作</w:t>
            </w:r>
          </w:p>
        </w:tc>
        <w:tc>
          <w:tcPr>
            <w:tcW w:type="dxa" w:w="2765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退出标准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 架构定版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1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ADR、领域词汇、范围、参考项目、schema v0、端口和包结构。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空项目可 init；依赖方向测试通过；无可选包也能启动。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P1 数据脊柱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2-3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Artifact/TextSpan/Claim/ModelElement/Relation/SQLite/审计日志。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接入 3 类制品；稳定 ID、别名、来源追溯和基线快照可用。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P2 语义编译与 R/F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4-5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原子化、分类、对齐、冲突、Patch；需求/场景/功能与覆盖检查。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10-20 条需求形成可审核 R/F；冲突不覆盖基线。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P3 L/P 候选与决策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6-7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耦合图、模式模板、组件契约、硬约束、Pareto 和敏感性。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稳定生成 2-3 套可解释候选；每个淘汰原因可追溯。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P4 仿真与验证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8-10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事件引擎、状态、资源、断言、扫描、Monte Carlo、故障注入。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至少 11 个场景；可比较候选并产出 Evidence。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P5 实现求差与任务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11-12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Python AST/OpenAPI/test 抽取、Delta、TaskContract、DAG、Agent 沙箱接口。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完成一次 MISSING/MISMATCH/UNVERIFIED 闭环；写范围和不变量生效。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P6 实验与发布</w:t>
            </w:r>
          </w:p>
        </w:tc>
        <w:tc>
          <w:tcPr>
            <w:tcW w:type="dxa" w:w="6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13-14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A/B/C 对照、消融、性能、安装矩阵、文档、演示和论文图表。</w:t>
            </w:r>
          </w:p>
        </w:tc>
        <w:tc>
          <w:tcPr>
            <w:tcW w:type="dxa" w:w="27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全新环境复现；核心指标可计算；v0.1 发布包与实验数据冻结。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每阶段固定工作法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周一冻结本周 Requirement、验收场景和非目标；重大变更走 ChangeRequest。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先写领域测试和端口契约，再写适配器；提交必须绑定 TaskContract 或 Issue。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每天运行 unit + contract；每个里程碑运行 e2e + simulation regression + install smoke。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每周保留一个可演示 baseline；演示失败优先修闭环，不扩展功能。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所有 prompt、模型、规则、阈值、随机种子和环境能力写入 run manifest。</w:t>
      </w:r>
    </w:p>
    <w:p>
      <w:pPr>
        <w:pStyle w:val="Heading2"/>
        <w:keepNext/>
        <w:keepLines/>
      </w:pPr>
      <w:r>
        <w:t>人员配置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84"/>
        <w:gridCol w:w="3888"/>
        <w:gridCol w:w="3888"/>
      </w:tblGrid>
      <w:tr>
        <w:trPr>
          <w:tblHeader w:val="true"/>
        </w:trPr>
        <w:tc>
          <w:tcPr>
            <w:tcW w:type="dxa" w:w="15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单人模式</w:t>
            </w:r>
          </w:p>
        </w:tc>
        <w:tc>
          <w:tcPr>
            <w:tcW w:type="dxa" w:w="388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2-3 人模式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系统/领域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本人负责模型语义、ADR 和门禁。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1 人负责 domain/application 和模型评审。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工程/平台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本人负责 SQLite、CLI、解析器和发布。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1 人负责 adapters/interface/CI。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仿真/实验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P4 后集中投入并维护基准。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1 人负责 simulation、metrics、对照实验。</w:t>
            </w:r>
          </w:p>
        </w:tc>
      </w:tr>
      <w:tr>
        <w:tc>
          <w:tcPr>
            <w:tcW w:type="dxa" w:w="15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导师/专家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每两周评审需求、架构候选和实验设计。</w:t>
            </w:r>
          </w:p>
        </w:tc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作为外部批准者，不直接修改基线。</w:t>
            </w:r>
          </w:p>
        </w:tc>
      </w:tr>
    </w:tbl>
    <w:p>
      <w:pPr>
        <w:spacing w:before="40" w:after="60"/>
      </w:pPr>
    </w:p>
    <w:p>
      <w:pPr>
        <w:pStyle w:val="Heading1"/>
        <w:keepNext/>
        <w:keepLines/>
      </w:pPr>
      <w:r>
        <w:t>测试、实验与评价</w:t>
      </w:r>
    </w:p>
    <w:p>
      <w:pPr>
        <w:pStyle w:val="Heading2"/>
        <w:keepNext/>
        <w:keepLines/>
      </w:pPr>
      <w:r>
        <w:t>测试体系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320"/>
        <w:gridCol w:w="3528"/>
      </w:tblGrid>
      <w:tr>
        <w:trPr>
          <w:tblHeader w:val="true"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层级</w:t>
            </w:r>
          </w:p>
        </w:tc>
        <w:tc>
          <w:tcPr>
            <w:tcW w:type="dxa" w:w="43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重点</w:t>
            </w:r>
          </w:p>
        </w:tc>
        <w:tc>
          <w:tcPr>
            <w:tcW w:type="dxa" w:w="352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典型门禁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Unit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领域不变量、状态机、关系规则、约束表达式、事件排序。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快、无 I/O；每个规则至少有正反例。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Contract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ModelStore、LLM、Solver、Analyzer、Exporter 端口。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Fake 与每个真实适配器必须通过同一测试。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Golden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文档 -&gt; Claim、模型 -&gt; SysML、基线 -&gt; TaskContract、仿真摘要。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变更必须显式更新 fixture 和原因。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E2E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 -&gt; 候选 -&gt; 仿真 -&gt; 基线 -&gt; 求差 -&gt; Evidence。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参考项目一条命令完成并输出固定哈希。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Performance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接入、对齐、图查询、仿真事件和候选求解。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保存环境与分位数，防止平均值掩盖退化。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Install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与 extras 的干净环境。</w:t>
            </w:r>
          </w:p>
        </w:tc>
        <w:tc>
          <w:tcPr>
            <w:tcW w:type="dxa" w:w="35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无 Docker、无网络、无可选包时 core demo 仍能运行。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对照实验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792"/>
        <w:gridCol w:w="4608"/>
        <w:gridCol w:w="3960"/>
      </w:tblGrid>
      <w:tr>
        <w:trPr>
          <w:tblHeader w:val="true"/>
        </w:trPr>
        <w:tc>
          <w:tcPr>
            <w:tcW w:type="dxa" w:w="79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组</w:t>
            </w:r>
          </w:p>
        </w:tc>
        <w:tc>
          <w:tcPr>
            <w:tcW w:type="dxa" w:w="4608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方式</w:t>
            </w:r>
          </w:p>
        </w:tc>
        <w:tc>
          <w:tcPr>
            <w:tcW w:type="dxa" w:w="39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控制条件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直接读取规划文档开发。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相同模型、任务、初始代码和 token/时间预算。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使用 RAG 检索规划文档。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检索库含相同文档；保留召回日志。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使用 RFLP 基线 + TaskContract + 仿真/证据。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只读最小模型切片；修改范围受控。</w:t>
            </w:r>
          </w:p>
        </w:tc>
      </w:tr>
    </w:tbl>
    <w:p>
      <w:pPr>
        <w:spacing w:before="40" w:after="60"/>
      </w:pPr>
    </w:p>
    <w:p>
      <w:pPr>
        <w:spacing w:before="0" w:after="12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在 3-5 轮受控变更中依次注入：需求阈值变化、接口字段变化、模块职责重命名、架构约束变化和故障恢复要求。每轮记录一次任务完成率、测试通过率、模型-代码一致率、接口漂移、重复组件、架构违规、返工和人工干预。为了判断哪部分机制真正有效，再做三组消融：去掉实体对齐、去掉仿真门禁、去掉 TaskContract 写范围。</w:t>
      </w:r>
    </w:p>
    <w:p>
      <w:pPr>
        <w:pStyle w:val="Heading2"/>
        <w:keepNext/>
        <w:keepLines/>
      </w:pPr>
      <w:r>
        <w:t>核心指标与目标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512"/>
        <w:gridCol w:w="4536"/>
        <w:gridCol w:w="3312"/>
      </w:tblGrid>
      <w:tr>
        <w:trPr>
          <w:tblHeader w:val="true"/>
        </w:trPr>
        <w:tc>
          <w:tcPr>
            <w:tcW w:type="dxa" w:w="15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45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3312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建议目标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语义编译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片段分类 F1、原子拆分准确率、实体对齐 Accuracy/MRR、冲突 F1、人工确认率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先建立人工标注基线；关键对象对齐 Accuracy &gt;= 0.90。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RFLP 模型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R-F 覆盖、F-L 分配、L-P 覆盖、接口闭合、来源追溯、一致性通过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已批准基线的追溯和必要分配均为 100%。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场景覆盖、断言通过、预测/实测误差、反例发现率、可复现率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 seed 可复现 100%；至少发现并解释 3 类设计缺陷。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方案选择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可行候选数、专家一致、排名稳定、权重翻转点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每次输出 2-3 套候选和明确翻转条件。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Agent 开发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一次完成、测试通过、接口漂移、架构违规、返工、人工干预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 组在一致性/违规/返工上优于 A、B；不预设虚假提升幅度。</w:t>
            </w:r>
          </w:p>
        </w:tc>
      </w:tr>
      <w:tr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轻量化</w:t>
            </w:r>
          </w:p>
        </w:tc>
        <w:tc>
          <w:tcPr>
            <w:tcW w:type="dxa" w:w="4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安装时间、包体、启动、内存、数据库体积</w:t>
            </w:r>
          </w:p>
        </w:tc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无服务依赖；安装与资源目标见前述质量门禁。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数据与统计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先构建 50-100 个高质量 Claim/Element 对齐样本和 20-30 个冲突样本，双人复核一部分以估计标注一致性。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每个 A/B/C 任务至少重复 3 次并随机化执行顺序；固定模型版本、温度、工具权限和预算。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报告中同时给出原始值、均值/中位数、离散程度和 bootstrap 置信区间；小样本不夸大显著性。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仿真预测必须与真实 benchmark 对照；Estimated 指标不得伪装为 Measured。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失败案例、人工修改轨迹和被拒绝 Patch 都保留，作为后续专用模型训练数据。</w:t>
      </w:r>
    </w:p>
    <w:p>
      <w:pPr>
        <w:pStyle w:val="Heading1"/>
        <w:keepNext/>
        <w:keepLines/>
      </w:pPr>
      <w:r>
        <w:t>风险、治理与最终交付</w:t>
      </w:r>
    </w:p>
    <w:p>
      <w:pPr>
        <w:pStyle w:val="Heading2"/>
        <w:keepNext/>
        <w:keepLines/>
      </w:pPr>
      <w:r>
        <w:t>风险登记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800"/>
        <w:gridCol w:w="3384"/>
        <w:gridCol w:w="4176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338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早期信号</w:t>
            </w:r>
          </w:p>
        </w:tc>
        <w:tc>
          <w:tcPr>
            <w:tcW w:type="dxa" w:w="417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缓解措施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范围失控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同时接入多语言、图数据库、前端和训练。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P0/P1/P2 功能分级；新增能力必须证明服务于核心实验。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语义抽取不稳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大量低置信度合并或冲突误判。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Claim/Model 分离、阈值审核、Golden 集、优先规则和别名。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SysML 映射失真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导出后关系丢失或对象身份变化。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版本化映射表、往返测试、projection hash 和不支持清单。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候选爆炸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组合数量或求解时间快速增长。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固定 2-3 模式、候选/时间上限、must/cannot-link 和先硬约束后评分。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仿真过度承诺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试图执行完整 SysML 或任意代码。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只承诺可执行子集；不支持对象标记 non-executable。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代码抽取脆弱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动态导入、装饰器和框架魔法导致漏检。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V1 固定 Python/FastAPI 约定；AST + OpenAPI 双证据；保留 Unknown。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实验不可归因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不同组的上下文、预算或模型不一致。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run manifest 固化；任务随机化；重复运行和消融。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安装变重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core 隐式依赖 torch、Docker 或数据库服务。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extras 延迟导入；独立安装 CI；核心离线 demo 门禁。</w:t>
            </w:r>
          </w:p>
        </w:tc>
      </w:tr>
    </w:tbl>
    <w:p>
      <w:pPr>
        <w:spacing w:before="40" w:after="60"/>
      </w:pPr>
    </w:p>
    <w:p>
      <w:pPr>
        <w:pStyle w:val="Heading2"/>
        <w:keepNext/>
        <w:keepLines/>
      </w:pPr>
      <w:r>
        <w:t>七个架构决策记录（ADR）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ADR-001：V1 采用单进程模块化单体，微服务不是默认演进方向。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ADR-002：Canonical RFLP Model 是事务真源；SysML v2 是确定性标准投影和可替换仓库适配器。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ADR-003：SQLite/JSON 是默认数据平面；PostgreSQL、pgvector、Neo4j 均后置。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ADR-004：LLM 只产生 Claim/Patch proposal，不拥有基线写权限。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ADR-005：仿真采用受限离散事件与状态转换语义，不实现完整 fUML。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ADR-006：默认求解器是可解释规则与剪枝枚举，CP-SAT 是 opt extra，Z3 不进入 V1。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Microsoft YaHei"/>
          <w:color w:val="243746"/>
          <w:sz w:val="22"/>
        </w:rPr>
        <w:t>ADR-007：Baseline 和 Evidence 追加式不可变；变更通过 ChangeRequest 和 supersede。</w:t>
      </w:r>
    </w:p>
    <w:p>
      <w:pPr>
        <w:pStyle w:val="Heading2"/>
        <w:keepNext/>
        <w:keepLines/>
      </w:pPr>
      <w:r>
        <w:t>最终交付清单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可安装的 rflp-lite Python 包、CLI 和 core/ai/docs/opt/api extras。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Canonical Model JSON Schema、SQLite migration、关系语义和 SysML v2 映射规范。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VersionedContentService 参考项目、10-20 条需求、2-3 套候选和 20-30 个组件契约。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仿真场景集、故障注入、参数扫描、Monte Carlo 和 Evidence 报告。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Python AST/OpenAPI/test 抽取、Delta、TaskContract 和 DAG 示例。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A/B/C 对照与消融数据、评价脚本、run manifest、复现实验说明。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Microsoft YaHei"/>
          <w:color w:val="243746"/>
          <w:sz w:val="22"/>
        </w:rPr>
        <w:t>架构 ADR、用户手册、开发手册、演示脚本和论文图表。</w:t>
      </w:r>
    </w:p>
    <w:p>
      <w:pPr>
        <w:pStyle w:val="Heading2"/>
        <w:keepNext/>
        <w:keepLines/>
      </w:pPr>
      <w:r>
        <w:t>最终验收：15 分钟演示脚本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在无 Docker 的干净环境安装 core 并运行 rflp init。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接入两份规划文档与一个 Python 项目，展示来源定位和别名冲突。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审核 Patch，构建 R/F 和三套 L/P 候选。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运行正常、边界和故障仿真，展示某候选的反例轨迹。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完成 Trade Study，批准基线并导出 SysML v2 映射报告。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抽取 ActualModel，生成 Delta、TaskContract 和 DAG。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执行修复、测试与仿真回归，接受 Evidence 并将需求标记 verified。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Microsoft YaHei"/>
          <w:color w:val="243746"/>
          <w:sz w:val="22"/>
        </w:rPr>
        <w:t>打开静态审计报告，从需求逐层追到代码、测试和仿真证据。</w:t>
      </w:r>
    </w:p>
    <w:p>
      <w:pPr>
        <w:spacing w:before="120" w:after="180" w:line="300" w:lineRule="auto"/>
        <w:ind w:left="115" w:right="115"/>
        <w:pBdr>
          <w:left w:val="single" w:sz="16" w:space="8" w:color="2F6B4F"/>
        </w:pBdr>
        <w:shd w:fill="EAF5EE" w:val="clear"/>
        <w:keepLines/>
      </w:pPr>
      <w:r>
        <w:rPr>
          <w:rFonts w:ascii="Arial" w:hAnsi="Arial" w:eastAsia="Microsoft YaHei"/>
          <w:b/>
          <w:color w:val="17365D"/>
          <w:sz w:val="21"/>
        </w:rPr>
        <w:t xml:space="preserve">项目做好了的标准  </w:t>
      </w:r>
      <w:r>
        <w:rPr>
          <w:rFonts w:ascii="Arial" w:hAnsi="Arial" w:eastAsia="Microsoft YaHei"/>
          <w:color w:val="243746"/>
          <w:sz w:val="21"/>
        </w:rPr>
        <w:t>不是“能生成很多 SysML 文本”，而是任意一项需求都能回答：它来自哪里、被哪些功能满足、分配给哪个逻辑组件、由哪个物理实现承担、在哪个候选中为何被选择、如何被仿真和测试验证、当前代码是否一致、下一步任务改什么以及完成后需要什么证据。</w:t>
      </w:r>
    </w:p>
    <w:p>
      <w:pPr>
        <w:pStyle w:val="Heading1"/>
        <w:keepNext/>
        <w:keepLines/>
      </w:pPr>
      <w:r>
        <w:t>参考资料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[1] Aistė Aleksandravičienė, Aurelijus Morkevičius. MagicGrid®知识体系（第二版）_.pdf. 重点参考 pp.11, 14, 66, 113, 117, 159, 256, 288。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[2] MBSE 实践案例 Toothbrush(1).pptx. 重点参考 slides 3-7, 9-11, 13-21, 23-29, 31-40。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[3] 黄家豪. MBSE_RFLP_AI_Agent_Report v0.1(2).pdf. pp.1-12。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[4] Object Management Group. SysML 2.0 specification and official resources: https://www.omg.org/spec/SysML/2.0/About-SysML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[5] SQLite. FTS5 Extension: https://www.sqlite.org/fts5.html</w:t>
      </w:r>
    </w:p>
    <w:p>
      <w:pPr>
        <w:spacing w:before="0" w:after="100" w:line="300" w:lineRule="auto"/>
        <w:jc w:val="left"/>
      </w:pPr>
      <w:r>
        <w:rPr>
          <w:rFonts w:ascii="Arial" w:hAnsi="Arial" w:eastAsia="Microsoft YaHei"/>
          <w:color w:val="243746"/>
          <w:sz w:val="22"/>
        </w:rPr>
        <w:t>[6] Google OR-Tools. CP-SAT Solver: https://developers.google.com/optimization/cp/cp_solver</w:t>
      </w:r>
    </w:p>
    <w:p>
      <w:pPr>
        <w:pStyle w:val="Heading2"/>
        <w:keepNext/>
        <w:keepLines/>
      </w:pPr>
      <w:r>
        <w:t>本规划的实施优先级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2"/>
          <w:left w:val="single" w:sz="6" w:space="0" w:color="B7C3D2"/>
          <w:bottom w:val="single" w:sz="6" w:space="0" w:color="B7C3D2"/>
          <w:right w:val="single" w:sz="6" w:space="0" w:color="B7C3D2"/>
          <w:insideH w:val="single" w:sz="6" w:space="0" w:color="B7C3D2"/>
          <w:insideV w:val="single" w:sz="6" w:space="0" w:color="B7C3D2"/>
        </w:tblBorders>
      </w:tblPr>
      <w:tblGrid>
        <w:gridCol w:w="1224"/>
        <w:gridCol w:w="5040"/>
        <w:gridCol w:w="3096"/>
      </w:tblGrid>
      <w:tr>
        <w:trPr>
          <w:tblHeader w:val="true"/>
        </w:trPr>
        <w:tc>
          <w:tcPr>
            <w:tcW w:type="dxa" w:w="122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优先级</w:t>
            </w:r>
          </w:p>
        </w:tc>
        <w:tc>
          <w:tcPr>
            <w:tcW w:type="dxa" w:w="50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必须完成</w:t>
            </w:r>
          </w:p>
        </w:tc>
        <w:tc>
          <w:tcPr>
            <w:tcW w:type="dxa" w:w="309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进入下一优先级的条件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P0 闭环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数据脊柱、R/F、有限 L/P、仿真、基线、求差、TaskContract、Evidence、CLI。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端到端演示可复现，核心指标可计算。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P1 增强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LLM structured output、DOCX、CP-SAT、SysML v2 API、可选 FastAPI。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P0 瓶颈有数据证明，适配器契约稳定。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P2 研究</w:t>
            </w:r>
          </w:p>
        </w:tc>
        <w:tc>
          <w:tcPr>
            <w:tcW w:type="dxa" w:w="5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embedding/cross-encoder、专用 Transformer、多人协作、图数据库、多语言。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A/B/C 与消融证明新增复杂度有明确收益。</w:t>
            </w:r>
          </w:p>
        </w:tc>
      </w:tr>
    </w:tbl>
    <w:p>
      <w:pPr>
        <w:spacing w:before="40"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color w:val="667085"/>
        <w:sz w:val="18"/>
      </w:rPr>
      <w:t xml:space="preserve">Page </w:t>
    </w:r>
    <w:r>
      <w:rPr>
        <w:rFonts w:ascii="Arial" w:hAnsi="Arial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Microsoft YaHei"/>
        <w:color w:val="667085"/>
        <w:sz w:val="18"/>
      </w:rPr>
      <w:t xml:space="preserve"> / </w:t>
    </w:r>
    <w:r>
      <w:rPr>
        <w:rFonts w:ascii="Arial" w:hAnsi="Arial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color w:val="667085"/>
        <w:sz w:val="17"/>
      </w:rPr>
      <w:t>MBSE × AI Agent  |  Lightweight Execution Plan</w:t>
    </w:r>
    <w:r>
      <w:rPr>
        <w:rFonts w:ascii="Arial" w:hAnsi="Arial" w:eastAsia="Microsoft YaHei"/>
        <w:color w:val="667085"/>
        <w:sz w:val="17"/>
      </w:rPr>
      <w:t xml:space="preserve">                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AI Agent 软件开发的 RFLP 轻量化项目执行规划</dc:title>
  <dc:subject>基于 MagicGrid、Toothbrush MBSE 案例与 RFLP AI Agent 研究报告的实施方案</dc:subject>
  <dc:creator>Project Planning Draft</dc:creator>
  <cp:keywords>MBSE, MagicGrid, RFLP, AI Agent, SysML v2,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