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20"/>
      </w:pPr>
      <w:r>
        <w:rPr>
          <w:rFonts w:ascii="Arial" w:hAnsi="Arial" w:eastAsia="Microsoft YaHei"/>
          <w:b/>
          <w:color w:val="F2B233"/>
          <w:sz w:val="21"/>
        </w:rPr>
        <w:t>PROJECT EXECUTION PLAN</w:t>
      </w:r>
    </w:p>
    <w:p>
      <w:pPr>
        <w:spacing w:before="160" w:after="200" w:line="252" w:lineRule="auto"/>
        <w:keepLines/>
      </w:pPr>
      <w:r>
        <w:rPr>
          <w:rFonts w:ascii="Arial" w:hAnsi="Arial" w:eastAsia="Microsoft YaHei"/>
          <w:b/>
          <w:color w:val="17365D"/>
          <w:sz w:val="50"/>
        </w:rPr>
        <w:t>面向 AI Agent 软件开发的</w:t>
        <w:br/>
        <w:t>RFLP 轻量化项目执行规划（审慎优化版）</w:t>
      </w:r>
    </w:p>
    <w:p>
      <w:pPr>
        <w:spacing w:after="360"/>
      </w:pPr>
      <w:r>
        <w:rPr>
          <w:rFonts w:ascii="Arial" w:hAnsi="Arial" w:eastAsia="Microsoft YaHei"/>
          <w:color w:val="667085"/>
          <w:sz w:val="26"/>
        </w:rPr>
        <w:t>从多源工程文档到统一语义、架构候选、可执行仿真、任务契约与验证证据</w:t>
      </w:r>
    </w:p>
    <w:p>
      <w:pPr>
        <w:spacing w:before="40" w:after="160"/>
        <w:pBdr>
          <w:bottom w:val="single" w:sz="16" w:space="1" w:color="F2B233"/>
        </w:pBdr>
      </w:pP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规划定位: </w:t>
      </w:r>
      <w:r>
        <w:rPr>
          <w:rFonts w:ascii="Arial" w:hAnsi="Arial" w:eastAsia="Microsoft YaHei"/>
          <w:color w:val="243746"/>
          <w:sz w:val="21"/>
        </w:rPr>
        <w:t>研究原型 / 可演示工具 / 后续论文实验平台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推荐形态: </w:t>
      </w:r>
      <w:r>
        <w:rPr>
          <w:rFonts w:ascii="Arial" w:hAnsi="Arial" w:eastAsia="Microsoft YaHei"/>
          <w:color w:val="243746"/>
          <w:sz w:val="21"/>
        </w:rPr>
        <w:t>模块化单体核心 + Ports/Adapters + 最小扩展治理 + 可选增强包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适用团队: </w:t>
      </w:r>
      <w:r>
        <w:rPr>
          <w:rFonts w:ascii="Arial" w:hAnsi="Arial" w:eastAsia="Microsoft YaHei"/>
          <w:color w:val="243746"/>
          <w:sz w:val="21"/>
        </w:rPr>
        <w:t>2-3 人为完整配置；单人按降范围研究原型执行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建议周期: </w:t>
      </w:r>
      <w:r>
        <w:rPr>
          <w:rFonts w:ascii="Arial" w:hAnsi="Arial" w:eastAsia="Microsoft YaHei"/>
          <w:color w:val="243746"/>
          <w:sz w:val="21"/>
        </w:rPr>
        <w:t>14 周完成核心闭环；验收要求较高时增加 2 周架构硬化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版本日期: </w:t>
      </w:r>
      <w:r>
        <w:rPr>
          <w:rFonts w:ascii="Arial" w:hAnsi="Arial" w:eastAsia="Microsoft YaHei"/>
          <w:color w:val="243746"/>
          <w:sz w:val="21"/>
        </w:rPr>
        <w:t>v1.1  |  2026 年 8 月</w:t>
      </w:r>
    </w:p>
    <w:p>
      <w:pPr>
        <w:spacing w:before="840" w:after="100"/>
      </w:pPr>
      <w:r>
        <w:rPr>
          <w:rFonts w:ascii="Arial" w:hAnsi="Arial" w:eastAsia="Microsoft YaHei"/>
          <w:b/>
          <w:color w:val="667085"/>
          <w:sz w:val="20"/>
        </w:rPr>
        <w:t>编制依据</w:t>
      </w:r>
    </w:p>
    <w:p>
      <w:pPr>
        <w:spacing w:after="40"/>
        <w:ind w:left="259"/>
      </w:pPr>
      <w:r>
        <w:rPr>
          <w:rFonts w:ascii="Arial" w:hAnsi="Arial" w:eastAsia="Microsoft YaHei"/>
          <w:color w:val="667085"/>
          <w:sz w:val="19"/>
        </w:rPr>
        <w:t>《从“相关研究有什么可借鉴”到可执行方案：跨领域研究综述与行动指南》</w:t>
      </w:r>
    </w:p>
    <w:p>
      <w:pPr>
        <w:spacing w:after="40"/>
        <w:ind w:left="259"/>
      </w:pPr>
      <w:r>
        <w:rPr>
          <w:rFonts w:ascii="Arial" w:hAnsi="Arial" w:eastAsia="Microsoft YaHei"/>
          <w:color w:val="667085"/>
          <w:sz w:val="19"/>
        </w:rPr>
        <w:t>《RFLP-Lite 项目执行框架与路径优化研究报告草案》</w:t>
      </w:r>
    </w:p>
    <w:p>
      <w:pPr>
        <w:spacing w:after="40"/>
        <w:ind w:left="259"/>
      </w:pPr>
      <w:r>
        <w:rPr>
          <w:rFonts w:ascii="Arial" w:hAnsi="Arial" w:eastAsia="Microsoft YaHei"/>
          <w:color w:val="667085"/>
          <w:sz w:val="19"/>
        </w:rPr>
        <w:t>《MBSE 实践案例 Toothbrush》及 RFLP-Lite v1.0 原规划</w:t>
      </w:r>
    </w:p>
    <w:p>
      <w:r>
        <w:br w:type="page"/>
      </w:r>
    </w:p>
    <w:p>
      <w:pPr>
        <w:pStyle w:val="Heading1"/>
        <w:keepNext/>
        <w:keepLines/>
      </w:pPr>
      <w:r>
        <w:t>执行结论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核心建议  </w:t>
      </w:r>
      <w:r>
        <w:rPr>
          <w:rFonts w:ascii="Arial" w:hAnsi="Arial" w:eastAsia="Microsoft YaHei"/>
          <w:color w:val="243746"/>
          <w:sz w:val="21"/>
        </w:rPr>
        <w:t>本次优化不推翻 v1.0 的主架构，也不把前两份研究报告中的完整插件平台、十六周全量验收和全部双实现要求整体照搬。首版仍采用可离线运行的模块化单体核心，以 Canonical RFLP Model 为事务真源，以 SQLite/JSON 为默认数据平面，以确定性规则约束 LLM，并保留 RFLP、候选权衡、仿真、TaskContract 与 Evidence 的端到端闭环。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优化只集中在最容易造成后期返工的部位：增加可执行依赖规则、Repository 数据所有权、最小 Manifest/Profile、关键 Port 的真实替换证明、风险适配器的受控隔离，以及 Measured/Calculated/Estimated/Unknown 证据分级。远程插件运行时、完整 N-1 兼容矩阵、全量 Monte Carlo、多用户 Web 审核和全面 A/B/C 实验继续后移，避免为了“看起来先进”而让首版过重。</w:t>
      </w:r>
    </w:p>
    <w:p>
      <w:pPr>
        <w:pStyle w:val="Heading2"/>
        <w:keepNext/>
        <w:keepLines/>
      </w:pPr>
      <w:r>
        <w:t>需要保留、调整和后移的内容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152"/>
        <w:gridCol w:w="3240"/>
        <w:gridCol w:w="4968"/>
      </w:tblGrid>
      <w:tr>
        <w:trPr>
          <w:tblHeader w:val="true"/>
          <w:cantSplit/>
        </w:trPr>
        <w:tc>
          <w:tcPr>
            <w:tcW w:type="dxa" w:w="115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处理</w:t>
            </w:r>
          </w:p>
        </w:tc>
        <w:tc>
          <w:tcPr>
            <w:tcW w:type="dxa" w:w="32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原方案内容</w:t>
            </w:r>
          </w:p>
        </w:tc>
        <w:tc>
          <w:tcPr>
            <w:tcW w:type="dxa" w:w="496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审慎优化决策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保留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SemanticClaim 与 ModelElement 分离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继续作为信任边界；任何 AI 或插件输出只能形成 Claim、Proposal 或 EvidenceCandidate。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保留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R-F-L-P、候选权衡、求差、TaskContract 与 Evidence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保持为主业务闭环，并按 Toothbrush 案例强化“为什么—做什么—如何做—如何验证”的视图递进。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保留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模块化单体 + SQLite/JSON + 可选适配器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不改成微服务或平台化架构；核心仍可离线、无 Docker、无 GPU 运行。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修正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用模块化和 Port 直接宣称低耦合、可替换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增加依赖白名单、Repository 所有权、Profile 切换和真实替换测试，用证据而不是模式名称证明。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修正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Adapter 与 Plugin 不作区分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内置稳定能力继续作为普通 Adapter；只有独立安装、高变化或高风险实现才使用最小 Manifest 与运行策略。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调整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所有可选能力均在核心进程内执行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可信轻量适配器可进程内运行；LLM、外部求解器和第三方解析器可按风险进入受控子进程；远程运行时后移。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调整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三个关键 Port 首版均做双真实实现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V1 强制证明 ClaimExtractor 与 Solver 两个变化轴；CodeAnalyzer 保留默认实现、Fake 与契约，第二真实实现进入增强阶段。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调整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Monte Carlo 与全面实验属于首版发布门禁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确定性场景、边界、故障注入和参数扫描属于 V1；Monte Carlo 与大规模统计实验仅在研究问题确有需要时启用。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后移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完整插件平台、在线 SysML v2 API、多用户审核、全兼容矩阵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保留接口和演进路径，但不进入 14 周核心承诺。</w:t>
            </w:r>
          </w:p>
        </w:tc>
      </w:tr>
    </w:tbl>
    <w:p>
      <w:pPr>
        <w:pStyle w:val="Heading2"/>
        <w:keepNext/>
        <w:keepLines/>
      </w:pPr>
      <w:r>
        <w:t>本次优化的取舍原则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应当保留  </w:t>
      </w:r>
      <w:r>
        <w:rPr>
          <w:rFonts w:ascii="Arial" w:hAnsi="Arial" w:eastAsia="Microsoft YaHei"/>
          <w:color w:val="243746"/>
          <w:sz w:val="21"/>
        </w:rPr>
        <w:t>v1.0 已经形成的轻量主链、Canonical 真源、确定性控制、仿真闭环和可选增强包。这些内容与项目规模和研究定位一致，没有必要重构。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应当修正  </w:t>
      </w:r>
      <w:r>
        <w:rPr>
          <w:rFonts w:ascii="Arial" w:hAnsi="Arial" w:eastAsia="Microsoft YaHei"/>
          <w:color w:val="243746"/>
          <w:sz w:val="21"/>
        </w:rPr>
        <w:t>仅靠目录分层、Port 名称或“插件化”声明无法证明可修改性。首版需要少量但可运行的架构门禁，确保局部修改不会扩散，异常能力不会污染 Baseline。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暂不采纳  </w:t>
      </w:r>
      <w:r>
        <w:rPr>
          <w:rFonts w:ascii="Arial" w:hAnsi="Arial" w:eastAsia="Microsoft YaHei"/>
          <w:color w:val="243746"/>
          <w:sz w:val="21"/>
        </w:rPr>
        <w:t>会把项目推向平台化的完整插件市场、远程 Runtime、所有 Port 双实现、全面兼容窗口和大规模实验。它们有长期价值，但当前缺少足够数据证明必须提前建设。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周期判断  </w:t>
      </w:r>
      <w:r>
        <w:rPr>
          <w:rFonts w:ascii="Arial" w:hAnsi="Arial" w:eastAsia="Microsoft YaHei"/>
          <w:color w:val="243746"/>
          <w:sz w:val="21"/>
        </w:rPr>
        <w:t>14 周仍可完成“核心闭环研究原型”；只有在验收明确要求三类 Port 双实现、完整兼容性和进程级隔离矩阵时，才启用第 15-16 周硬化扩展。</w:t>
      </w:r>
    </w:p>
    <w:p>
      <w:pPr>
        <w:spacing w:before="40" w:after="60"/>
      </w:pPr>
    </w:p>
    <w:p>
      <w:pPr>
        <w:pStyle w:val="Heading2"/>
        <w:keepNext/>
        <w:keepLines/>
        <w:pageBreakBefore/>
      </w:pPr>
      <w:r>
        <w:t>目录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方法论映射与项目定位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范围、架构驱动与验收目标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轻量化总体架构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统一语义与 RFLP 核心数据模型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核心子系统设计</w:t>
      </w:r>
    </w:p>
    <w:p>
      <w:pPr>
        <w:spacing w:before="0" w:after="80" w:line="300" w:lineRule="auto"/>
        <w:pageBreakBefore w:val="0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仿真与验证闭环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安装、依赖与工程结构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端到端工作流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14 周实施计划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测试、实验与评价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风险、治理与最终交付</w:t>
      </w:r>
    </w:p>
    <w:p>
      <w:r>
        <w:br w:type="page"/>
      </w:r>
    </w:p>
    <w:p>
      <w:pPr>
        <w:pStyle w:val="Heading1"/>
        <w:keepNext/>
        <w:keepLines/>
      </w:pPr>
      <w:r>
        <w:t>方法论映射与项目定位</w:t>
      </w:r>
    </w:p>
    <w:p>
      <w:pPr>
        <w:pStyle w:val="Heading2"/>
        <w:keepNext/>
        <w:keepLines/>
      </w:pPr>
      <w:r>
        <w:t>四份材料如何共同约束本项目</w:t>
      </w:r>
    </w:p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color w:val="243746"/>
          <w:sz w:val="22"/>
        </w:rPr>
        <w:t>跨领域研究综述提供了“先建立问题基线、小规模试点、分层指标、证据分级，再依据实测证据扩展”的判断框架。它不要求把所有先进方法一次性加入，而是要求每项复杂度都能对应明确问题、指标和退出条件。</w:t>
      </w:r>
    </w:p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color w:val="243746"/>
          <w:sz w:val="22"/>
        </w:rPr>
        <w:t>Toothbrush 案例提供本项目最重要的方法用意：先从利益相关方、环境、生命周期、用例和运行场景回答“为什么”，再以功能与交互回答“做什么”，最后进入逻辑组件与物理构建回答“如何做”；各视图必须通过分配、实现和验证关系闭合，而不能直接从文档跳到技术组件。</w:t>
      </w:r>
    </w:p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color w:val="243746"/>
          <w:sz w:val="22"/>
        </w:rPr>
        <w:t>RFLP-Lite v1.0 已把这条链迁移为 Artifact -&gt; Claim -&gt; R/F/L/P -&gt; Candidate -&gt; Simulation -&gt; Baseline -&gt; Delta -&gt; TaskContract -&gt; Evidence。路径优化报告指出的低耦合、插件替换和故障隔离，应作为横切质量门禁叠加到这条主链上，而不是另造一套与 RFLP 并行的平台。</w:t>
      </w:r>
    </w:p>
    <w:p>
      <w:pPr>
        <w:pStyle w:val="Heading2"/>
        <w:keepNext/>
        <w:keepLines/>
      </w:pPr>
      <w:r>
        <w:t>MagicGrid - RFLP - 软件工程映射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656"/>
        <w:gridCol w:w="792"/>
        <w:gridCol w:w="3456"/>
        <w:gridCol w:w="3456"/>
      </w:tblGrid>
      <w:tr>
        <w:trPr>
          <w:tblHeader w:val="true"/>
          <w:cantSplit/>
        </w:trPr>
        <w:tc>
          <w:tcPr>
            <w:tcW w:type="dxa" w:w="16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MBSE 视图</w:t>
            </w:r>
          </w:p>
        </w:tc>
        <w:tc>
          <w:tcPr>
            <w:tcW w:type="dxa" w:w="7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核心问题 / RFLP</w:t>
            </w:r>
          </w:p>
        </w:tc>
        <w:tc>
          <w:tcPr>
            <w:tcW w:type="dxa" w:w="34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本项目对象</w:t>
            </w:r>
          </w:p>
        </w:tc>
        <w:tc>
          <w:tcPr>
            <w:tcW w:type="dxa" w:w="34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首版交付物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运行视图 / 黑盒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为什么、为谁 / R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利益相关方、环境、生命周期、用例、MoE、验收意图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Context、Scenario、Requirement、Constraint、VerificationIntent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功能视图 / 灰盒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做什么、如何产生结果 / F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功能分解、I/O、状态变化、功能场景、失败模式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Function、Flow、StateTransition、R-F 覆盖报告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逻辑视图 / 白盒设计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谁负责、接口在哪里 / L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职责聚合、状态所有权、事务、安全域、接口与错误语义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2-3 套 LogicalCandidate、接口闭合报告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物理视图 / 实现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用什么资源实现 / P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模块、数据库、模型服务、部署节点、资源、版本与许可证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PhysicalCandidate、ComponentContract、配置基线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实验与验证 / 往返校核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是否有效且可持续 / V/E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仿真、测试、性能、变更影响、故障与运行证据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VerificationCase、SimulationTrace、Evidence、Baseline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项目一句话定义</w:t>
      </w:r>
    </w:p>
    <w:p>
      <w:pPr>
        <w:spacing w:before="120" w:after="180" w:line="300" w:lineRule="auto"/>
        <w:ind w:left="115" w:right="115"/>
        <w:pBdr>
          <w:left w:val="single" w:sz="16" w:space="8" w:color="2E74B5"/>
        </w:pBdr>
        <w:shd w:fill="F4F7FB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项目定义  </w:t>
      </w:r>
      <w:r>
        <w:rPr>
          <w:rFonts w:ascii="Arial" w:hAnsi="Arial" w:eastAsia="Microsoft YaHei"/>
          <w:color w:val="243746"/>
          <w:sz w:val="21"/>
        </w:rPr>
        <w:t>RFLP-Lite 是面向 AI Agent 软件开发的轻量化系统工程控制层：它先用运行、功能、逻辑和物理视图逐层明确“为什么、做什么、如何做”，再将多源工程文本编译为可追溯模型，用有限候选与仿真缩小设计空间，用模型差异生成受约束任务，并以实现证据更新基线。</w:t>
      </w:r>
    </w:p>
    <w:p>
      <w:pPr>
        <w:pStyle w:val="Heading1"/>
        <w:keepNext/>
        <w:keepLines/>
      </w:pPr>
      <w:r>
        <w:t>范围、架构驱动与验收目标</w:t>
      </w:r>
    </w:p>
    <w:p>
      <w:pPr>
        <w:pStyle w:val="Heading2"/>
        <w:keepNext/>
        <w:keepLines/>
      </w:pPr>
      <w:r>
        <w:t>首版范围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一个软件领域、一个参考项目和固定 Python 技术栈；代表性需求 10-20 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支持 Markdown、结构化 JSON、Python 源码、OpenAPI JSON 和测试结果；DOCX 为可选扩展。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完成 Artifact -&gt; TextSpan -&gt; Claim -&gt; R/F/L/P -&gt; Baseline -&gt; Delta -&gt; TaskContract -&gt; Evidence 的闭环。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生成 2-3 套逻辑架构候选和有限的 P 层配置；每次求解设置候选数和时间上限。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支持离散事件、状态转换、资源约束、故障注入和参数扫描的可执行子集；Monte Carlo 作为 opt/research 增强，不作为 V1 发布前置。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只做 Python AST、OpenAPI 和 pytest/JUnit 证据抽取，不做通用多语言程序理解。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首版必须完成 ClaimExtractor 与 Solver 两个高变化 Port 的真实替换证明；CodeAnalyzer 首版保留标准库实现、Fake 和统一契约，第二真实实现只有在进度允许或论文问题需要时加入。</w:t>
      </w:r>
    </w:p>
    <w:p>
      <w:pPr>
        <w:pStyle w:val="Heading2"/>
        <w:keepNext/>
        <w:keepLines/>
      </w:pPr>
      <w:r>
        <w:t>明确不做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不做完整图形化 SysML 编辑器，不复刻 Cameo/MagicDraw。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不在 V1 强制安装 Docker、PostgreSQL、Neo4j、向量数据库、GPU 模型或多个求解器。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不允许 LLM 直接重写基线，不做无人批准的需求确认和架构发布。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不追求端到端文档到 RFLP 的大模型训练；先积累可复用的人工审核轨迹。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不把代码文件直接等同于 P 层组件；ImplementationArtifact 与组件保持显式关系。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不建设通用插件市场、远程插件编排平台和全量 N-1 兼容矩阵；V1 只实现足以支持局部替换、受控失败和可审计运行的最小扩展治理。</w:t>
      </w:r>
    </w:p>
    <w:p>
      <w:pPr>
        <w:pStyle w:val="Heading2"/>
        <w:keepNext/>
        <w:keepLines/>
      </w:pPr>
      <w:r>
        <w:t>架构驱动与可验收质量目标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440"/>
        <w:gridCol w:w="4392"/>
        <w:gridCol w:w="3528"/>
      </w:tblGrid>
      <w:tr>
        <w:trPr>
          <w:tblHeader w:val="true"/>
          <w:cantSplit/>
        </w:trPr>
        <w:tc>
          <w:tcPr>
            <w:tcW w:type="dxa" w:w="14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驱动</w:t>
            </w:r>
          </w:p>
        </w:tc>
        <w:tc>
          <w:tcPr>
            <w:tcW w:type="dxa" w:w="43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V1 目标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可安装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核心模式只依赖 Python 3.11+ 标准库；不需要 Docker、数据库服务或 GPU。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全新环境 10 分钟内完成 init -&gt; demo；CI 在三个主流系统执行。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轻资源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核心进程目标内存 &lt; 250 MB，启动 &lt; 2 s；研究数据放在单个 SQLite 文件。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基准脚本记录冷启动、峰值内存和数据库体积。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可追溯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所有已批准元素有来源；所有 verified 需求有 VerificationCase 和 Evidence。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trace check 必须达到 100%，否则禁止发布基线。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可复现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相同输入、配置、基线和随机种子产生相同模型哈希、候选集合和仿真摘要。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Golden test + 双次运行哈希比较。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可扩展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所有外部能力都有稳定 Port、默认实现、Fake 和契约；V1 对 ClaimExtractor、Solver 完成第二真实实现。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通过 Profile 切换实现时 domain/application 核心代码零修改。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可解释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每次合并、冲突、淘汰、评分、任务生成、扩展调用和验证均可追到规则与证据。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Decision/Conflict/Task/ContractEvidence/PluginRunEvidence 审计报告。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可修改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模块按变化原因划分；SQLite 表实行 Repository 所有权；禁止跨层和跨私有表访问。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CI 禁止依赖数为 0；替换或升级时记录改动文件、模块和回归范围。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故障隔离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风险适配器超时、崩溃或输出非法时，只产生受控失败或切换备用，不改变正式 Baseline。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故障注入后 Baseline 哈希保持 100% 不变，核心进程仍可继续执行最小命令。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证据可信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指标明确标记 Measured、Calculated、Estimated 或 Unknown。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Estimated/Unknown 不得单独满足强制发布门禁；关键结论绑定数据、代码、Profile 和版本。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推荐参考项目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以“版本化内容服务 VersionedContentService”作为贯穿样例：系统保存内容版本、恢复历史版本、记录审计事件、提供角色权限和查询接口。它能覆盖原报告中的版本恢复示例，又能自然产生状态、事务、接口、并发、性能和故障场景。候选架构可比较模块化单体、端口适配器单体和事件驱动拆分；P 层可比较 JSON 文件、SQLite 和可选 PostgreSQL。</w:t>
      </w:r>
    </w:p>
    <w:p>
      <w:pPr>
        <w:pStyle w:val="Heading1"/>
        <w:keepNext/>
        <w:keepLines/>
        <w:pageBreakBefore/>
      </w:pPr>
      <w:r>
        <w:t>轻量化总体架构</w:t>
      </w:r>
    </w:p>
    <w:p>
      <w:pPr>
        <w:spacing w:before="120" w:after="180" w:line="300" w:lineRule="auto"/>
        <w:ind w:left="115" w:right="115"/>
        <w:pBdr>
          <w:left w:val="single" w:sz="16" w:space="8" w:color="2E74B5"/>
        </w:pBdr>
        <w:shd w:fill="F4F7FB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架构形态  </w:t>
      </w:r>
      <w:r>
        <w:rPr>
          <w:rFonts w:ascii="Arial" w:hAnsi="Arial" w:eastAsia="Microsoft YaHei"/>
          <w:color w:val="243746"/>
          <w:sz w:val="21"/>
        </w:rPr>
        <w:t>首版继续采用模块化单体核心。领域与确定性用例默认在单进程内运行；模块之间只能通过领域对象、应用服务、Repository 和 Port 协作。可信轻量 Adapter 可进程内加载，LLM、外部求解器、第三方解析器等高变化或高风险实现可由受控子进程承载。这样保留轻量安装，同时避免把“单进程”误解为所有扩展都必须共享故障域。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32250"/>
            <wp:docPr id="1" name="Picture 1" descr="RFLP-Lite modular monolith architecture with interaction, application, domain kernel, ports, and adapters layers" title="RFLP-Lite Overall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Arial" w:hAnsi="Arial" w:eastAsia="Microsoft YaHei"/>
          <w:i/>
          <w:color w:val="667085"/>
          <w:sz w:val="18"/>
        </w:rPr>
        <w:t>图 1  RFLP-Lite 总体架构：领域内核稳定，外部能力均通过端口接入</w:t>
      </w:r>
    </w:p>
    <w:p>
      <w:pPr>
        <w:pStyle w:val="Heading2"/>
        <w:keepNext/>
        <w:keepLines/>
      </w:pPr>
      <w:r>
        <w:t>架构原则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内核先行: </w:t>
      </w:r>
      <w:r>
        <w:rPr>
          <w:rFonts w:ascii="Arial" w:hAnsi="Arial" w:eastAsia="Microsoft YaHei"/>
          <w:color w:val="243746"/>
          <w:sz w:val="22"/>
        </w:rPr>
        <w:t>先把身份、关系、不变量、基线和变更做对，再接 LLM、求解器和 UI。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视图递进: </w:t>
      </w:r>
      <w:r>
        <w:rPr>
          <w:rFonts w:ascii="Arial" w:hAnsi="Arial" w:eastAsia="Microsoft YaHei"/>
          <w:color w:val="243746"/>
          <w:sz w:val="22"/>
        </w:rPr>
        <w:t>严格保持运行视图 -&gt; 功能视图 -&gt; 逻辑视图 -&gt; 物理视图 -&gt; 验证证据的顺序；不得用技术组件反向替代利益相关方、场景和功能分析。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证据与事实分离: </w:t>
      </w:r>
      <w:r>
        <w:rPr>
          <w:rFonts w:ascii="Arial" w:hAnsi="Arial" w:eastAsia="Microsoft YaHei"/>
          <w:color w:val="243746"/>
          <w:sz w:val="22"/>
        </w:rPr>
        <w:t>Claim 表示来源中的主张，ModelElement 表示被批准的工程事实；冲突可以共存，基线不能被概率输出污染。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确定性包围概率性: </w:t>
      </w:r>
      <w:r>
        <w:rPr>
          <w:rFonts w:ascii="Arial" w:hAnsi="Arial" w:eastAsia="Microsoft YaHei"/>
          <w:color w:val="243746"/>
          <w:sz w:val="22"/>
        </w:rPr>
        <w:t>LLM 只能产生结构化 Claim 或 ModelPatch proposal；校验、合并、版本、求差、仿真、测试和发布由确定性程序控制。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一个默认数据平面: </w:t>
      </w:r>
      <w:r>
        <w:rPr>
          <w:rFonts w:ascii="Arial" w:hAnsi="Arial" w:eastAsia="Microsoft YaHei"/>
          <w:color w:val="243746"/>
          <w:sz w:val="22"/>
        </w:rPr>
        <w:t>SQLite 同时保存对象、关系、别名、基线、任务和证据；FTS5 负责轻量检索，图数据库不进入主链。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数据边界: </w:t>
      </w:r>
      <w:r>
        <w:rPr>
          <w:rFonts w:ascii="Arial" w:hAnsi="Arial" w:eastAsia="Microsoft YaHei"/>
          <w:color w:val="243746"/>
          <w:sz w:val="22"/>
        </w:rPr>
        <w:t>可以共用一个 SQLite 文件，但每个模块只通过所属 Repository Port 操作其私有表；跨模块分析使用公开查询服务、只读投影或关系 API。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仿真是核心能力: </w:t>
      </w:r>
      <w:r>
        <w:rPr>
          <w:rFonts w:ascii="Arial" w:hAnsi="Arial" w:eastAsia="Microsoft YaHei"/>
          <w:color w:val="243746"/>
          <w:sz w:val="22"/>
        </w:rPr>
        <w:t>R 的验收标准、F 的行为、L 的路由和 P 的资源必须能投影到可执行子集，形成真正的设计验证。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标准通过投影接入: </w:t>
      </w:r>
      <w:r>
        <w:rPr>
          <w:rFonts w:ascii="Arial" w:hAnsi="Arial" w:eastAsia="Microsoft YaHei"/>
          <w:color w:val="243746"/>
          <w:sz w:val="22"/>
        </w:rPr>
        <w:t>Canonical Model 保证首版可控；SysML v2 导出/导入由适配器完成并记录投影哈希，后续可替换为标准 API 仓库。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扩展而不膨胀: </w:t>
      </w:r>
      <w:r>
        <w:rPr>
          <w:rFonts w:ascii="Arial" w:hAnsi="Arial" w:eastAsia="Microsoft YaHei"/>
          <w:color w:val="243746"/>
          <w:sz w:val="22"/>
        </w:rPr>
        <w:t>安装 extras 只增加适配器，不改变领域模型和核心工作流。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最小治理: </w:t>
      </w:r>
      <w:r>
        <w:rPr>
          <w:rFonts w:ascii="Arial" w:hAnsi="Arial" w:eastAsia="Microsoft YaHei"/>
          <w:color w:val="243746"/>
          <w:sz w:val="22"/>
        </w:rPr>
        <w:t>Port、Schema 和 Profile 需要版本化；独立安装或高风险实现提供精简 Manifest 与 ContractEvidence，但不建设通用插件平台。</w:t>
      </w:r>
    </w:p>
    <w:p>
      <w:pPr>
        <w:pStyle w:val="Heading2"/>
        <w:keepNext/>
        <w:keepLines/>
      </w:pPr>
      <w:r>
        <w:t>模块边界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104"/>
        <w:gridCol w:w="3744"/>
      </w:tblGrid>
      <w:tr>
        <w:trPr>
          <w:tblHeader w:val="true"/>
          <w:cantSplit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410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374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domain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</w:rPr>
              <w:t>实体、关系、不变量、状态机、基线、变更和领域错误。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不得依赖数据库、HTTP、LLM、框架或文件格式。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application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按用例拆分接入、编译、综合、候选、权衡、仿真、求差和发布；负责步骤日志、幂等和人工批准点。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不得形成包揽全部流程的“大服务”，不得绕过 Port 或 Baseline Change Service。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simulation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可执行行为、事件队列、资源、故障、断言、轨迹和指标。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不得把任意 Python eval 作为约束引擎。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adapters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SQLite、JSON、Python AST、SysML v2、LLM API、CP-SAT 等实现；内置 Adapter 与外部 Plugin 明确区分。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不得反向定义领域语义，不得跨越 Repository 读取其他模块私有数据。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ports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ModelStore、Repository、ClaimExtractor、Solver、CodeAnalyzer、Exporter、Clock 等稳定契约。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不得包含供应商字段；必须规定输入输出、错误语义、超时、确定性和允许副作用。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governance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维护 Port/Schema/Profile 版本、最小 Manifest、契约证据、依赖规则、执行策略和审计元数据。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不得成为第二套业务核心，不得定义 RFLP 正式关系，也不实现插件市场或远程编排。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interface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CLI、静态 HTML 审核报告和可选 API。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不得保存独立业务状态。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</w:pPr>
      <w:r>
        <w:t>统一语义与 RFLP 核心数据模型</w:t>
      </w:r>
    </w:p>
    <w:p>
      <w:pPr>
        <w:pStyle w:val="Heading2"/>
        <w:keepNext/>
        <w:keepLines/>
      </w:pPr>
      <w:r>
        <w:t>四类对象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320"/>
        <w:gridCol w:w="3528"/>
      </w:tblGrid>
      <w:tr>
        <w:trPr>
          <w:tblHeader w:val="true"/>
          <w:cantSplit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对象族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核心类型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身份与版本规则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来源与断言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SourceArtifact、TextSpan、SemanticClaim、Ambiguity、ConflictRecord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来源不可变；Claim 有 producer、confidence、status 和精确 span。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目标模型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Requirement、Constraint、Scenario、Function、LogicalComponent、PhysicalComponent、Interface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稳定 UUID；名称/别名可变；批准后只能经 ChangeRequest 修改。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执行模型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ArchitectureCandidate、Decision、SimulationCase、TaskContract、TaskDAG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绑定输入基线哈希、配置、随机种子和生成规则版本。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实现与证据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ImplementationArtifact、VerificationCase、Evidence、Baseline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Evidence 追加写；Baseline 不可变，可 supersede 不可覆盖。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扩展治理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PortContract、AdapterManifest、Profile、ContractEvidence、PluginRunEvidence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只管理扩展兼容、运行和审计，不属于 RFLP 权威工程事实；所有运行证据追加写。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必须保留的正式关系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Requirement satisfiedBy Function；Requirement verifiedBy VerificationCase。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Function allocatedTo LogicalComponent；LogicalComponent realizedBy PhysicalComponent。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Component provides/requires Interface；Interface transfers DataDefinition。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PhysicalComponent implementedBy ImplementationArtifact；Task realizes ModelElement。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VerificationCase supportedBy Evidence；Decision selects ArchitectureCandidate。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ModelElement derivedFrom Claim；Claim locatedAt TextSpan；Baseline contains ModelElementVersion。</w:t>
      </w:r>
    </w:p>
    <w:p>
      <w:pPr>
        <w:pStyle w:val="Heading2"/>
        <w:keepNext/>
        <w:keepLines/>
      </w:pPr>
      <w:r>
        <w:t>状态与发布门禁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84"/>
        <w:gridCol w:w="3744"/>
        <w:gridCol w:w="4032"/>
      </w:tblGrid>
      <w:tr>
        <w:trPr>
          <w:tblHeader w:val="true"/>
          <w:cantSplit/>
        </w:trPr>
        <w:tc>
          <w:tcPr>
            <w:tcW w:type="dxa" w:w="15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374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状态机</w:t>
            </w:r>
          </w:p>
        </w:tc>
        <w:tc>
          <w:tcPr>
            <w:tcW w:type="dxa" w:w="403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发布规则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Claim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candidate -&gt; reviewed -&gt; accepted/rejected/conflict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低置信度、冲突或影响已批准对象时必须人工审核。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ModelPatch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proposed -&gt; validated -&gt; approved -&gt; applied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语法、引用、层级和不变量检查全部通过后才可应用。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ModelElement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draft -&gt; approved -&gt; deprecated/superseded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approved 元素禁止原地静默修改。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Baseline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candidate -&gt; approved -&gt; superseded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内容哈希、父基线、批准记录和配置必须完整。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Evidence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collected -&gt; validated -&gt; accepted/rejected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只有证据解析成功且绑定到正确基线，才能推进 verified 状态。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SQLite 数据平面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默认数据库继续采用 normalized tables + JSON payload 的混合方案：身份、关系、状态和索引字段列化，类型专有属性放入版本化 JSON；每次迁移记录 schema_version。一个 SQLite 文件只代表部署轻量，不代表共享表耦合：各模块通过所属 Repository Port 访问私有表，跨模块分析使用公开查询、只读投影或领域关系 API。影响分析用递归 CTE，全文检索优先 FTS5，未启用时退化到精确别名与字符 bigram。</w:t>
      </w:r>
    </w:p>
    <w:p>
      <w:pPr>
        <w:spacing w:before="100" w:after="160" w:line="252" w:lineRule="auto"/>
        <w:ind w:left="259" w:right="259"/>
        <w:shd w:fill="F5F7FA" w:val="clear"/>
      </w:pPr>
      <w:r>
        <w:rPr>
          <w:rFonts w:ascii="Consolas" w:hAnsi="Consolas" w:eastAsia="Consolas"/>
          <w:color w:val="1F4D78"/>
          <w:sz w:val="17"/>
        </w:rPr>
        <w:t>artifact | text_span | claim | alias | conflict</w:t>
        <w:br/>
        <w:t>model_element | relation | baseline | baseline_member | change_request</w:t>
        <w:br/>
        <w:t>candidate | decision | simulation_case | simulation_run</w:t>
        <w:br/>
        <w:t>task_contract | task_edge | verification_case | evidence | audit_event</w:t>
        <w:br/>
        <w:t>profile | adapter_manifest | contract_evidence | plugin_run</w:t>
      </w:r>
    </w:p>
    <w:p>
      <w:pPr>
        <w:pStyle w:val="Heading2"/>
        <w:keepNext/>
        <w:keepLines/>
      </w:pPr>
      <w:r>
        <w:t>标准兼容策略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SysML v2 继续作为标准兼容方向，但 V1 的最低承诺是确定性文本投影、映射报告和 projection hash，而不是在线 API 仓库或完整往返同步。每个 approved baseline 可导出受版本控制的 SysML v2 映射；只有在投影准确性和协作需求得到实测证明后，才将 SysML v2 API 仓库加入增强包。</w:t>
      </w:r>
    </w:p>
    <w:p>
      <w:pPr>
        <w:pStyle w:val="Heading1"/>
        <w:keepNext/>
        <w:keepLines/>
        <w:pageBreakBefore/>
      </w:pPr>
      <w:r>
        <w:t>核心子系统设计</w:t>
      </w:r>
    </w:p>
    <w:p>
      <w:pPr>
        <w:pStyle w:val="Heading2"/>
        <w:keepNext/>
        <w:keepLines/>
      </w:pPr>
      <w:r>
        <w:t>工程制品接入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接入层先构建文档结构树，再产生 TextSpan，禁止按固定 token 直接切块。Markdown 保留标题、列表、表格与代码块；JSON 保留路径；Python AST 保留文件、符号和行号；OpenAPI 保留 path/method/schema；测试结果保留 case、duration、status 和日志定位。DOCX 解析由 docs extra 提供，不影响核心安装。</w:t>
      </w:r>
    </w:p>
    <w:p>
      <w:pPr>
        <w:pStyle w:val="Heading2"/>
        <w:keepNext/>
        <w:keepLines/>
      </w:pPr>
      <w:r>
        <w:t>工程语义编译器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规则预处理：去除模板噪声，识别 requirement/constraint/interface/task/test 等显式模式。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原子化：一个 Claim 只表达一个主体-谓词-客体或一个可验证义务；数值、单位和条件独立结构化。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实体对齐：精确 ID/别名 -&gt; FTS5/字符 bigram 召回 -&gt; 关系邻域重排 -&gt; 可选 embedding/cross-encoder。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决策：MERGE、REFINE、ALIAS、CONFLICT、CREATE、REVIEW；阈值写入配置并记录命中特征。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输出 ModelPatch proposal：创建元素、添加别名、创建关系、标记冲突；绝不输出整库覆盖文本。</w:t>
      </w:r>
    </w:p>
    <w:p>
      <w:pPr>
        <w:pStyle w:val="Heading2"/>
        <w:keepNext/>
        <w:keepLines/>
      </w:pPr>
      <w:r>
        <w:t>轻量扩展治理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边界区分  </w:t>
      </w:r>
      <w:r>
        <w:rPr>
          <w:rFonts w:ascii="Arial" w:hAnsi="Arial" w:eastAsia="Microsoft YaHei"/>
          <w:color w:val="243746"/>
          <w:sz w:val="21"/>
        </w:rPr>
        <w:t>内置、稳定、与项目一同发布的实现称为 Adapter；可独立安装、独立升级、依赖外部运行环境或风险较高的实现才作为 Plugin 管理。不是所有 Adapter 都需要 Manifest。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最小 Manifest  </w:t>
      </w:r>
      <w:r>
        <w:rPr>
          <w:rFonts w:ascii="Arial" w:hAnsi="Arial" w:eastAsia="Microsoft YaHei"/>
          <w:color w:val="243746"/>
          <w:sz w:val="21"/>
        </w:rPr>
        <w:t>仅包含 plugin_id/version、implements、capabilities、输入输出 Schema 哈希、execution_mode、timeout、permissions、determinism、failure_policy、license/dependency_lock 和 contract_evidence。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运行模式  </w:t>
      </w:r>
      <w:r>
        <w:rPr>
          <w:rFonts w:ascii="Arial" w:hAnsi="Arial" w:eastAsia="Microsoft YaHei"/>
          <w:color w:val="243746"/>
          <w:sz w:val="21"/>
        </w:rPr>
        <w:t>V1 实现 in_process 与 subprocess 两种模式；remote 只保留 Port 和配置语义，不建设远程 Runtime。风险实现默认子进程，输出先经 Schema 与不变量校验后再进入主流程。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配置选择  </w:t>
      </w:r>
      <w:r>
        <w:rPr>
          <w:rFonts w:ascii="Arial" w:hAnsi="Arial" w:eastAsia="Microsoft YaHei"/>
          <w:color w:val="243746"/>
          <w:sz w:val="21"/>
        </w:rPr>
        <w:t>project.toml 中的版本化 Profile 负责实现选择、优先级、超时和备用方案，应用代码不得散布供应商判断。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替换证明  </w:t>
      </w:r>
      <w:r>
        <w:rPr>
          <w:rFonts w:ascii="Arial" w:hAnsi="Arial" w:eastAsia="Microsoft YaHei"/>
          <w:color w:val="243746"/>
          <w:sz w:val="21"/>
        </w:rPr>
        <w:t>V1 对 ClaimExtractor 和 Solver 完成两种真实实现的同契约替换；CodeAnalyzer 先以 AstCodeAnalyzer + Fake 验证契约，第二真实实现后移。</w:t>
      </w:r>
    </w:p>
    <w:p>
      <w:pPr>
        <w:pStyle w:val="Heading2"/>
        <w:keepNext/>
        <w:keepLines/>
      </w:pPr>
      <w:r>
        <w:t>R/F 综合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 w:cs="Arial"/>
          <w:color w:val="243746"/>
          <w:sz w:val="22"/>
        </w:rPr>
        <w:t xml:space="preserve">R 层由 Requirement、Constraint、Assumption、AcceptanceCriterion 和 VerificationIntent </w:t>
      </w:r>
      <w:r>
        <w:rPr>
          <w:rFonts w:ascii="Noto Sans CJK SC" w:hAnsi="Noto Sans CJK SC" w:eastAsia="Noto Sans CJK SC" w:cs="Noto Sans CJK SC"/>
          <w:color w:val="243746"/>
          <w:sz w:val="22"/>
        </w:rPr>
        <w:t>组</w:t>
      </w:r>
      <w:r>
        <w:rPr>
          <w:rFonts w:ascii="Arial" w:hAnsi="Arial" w:eastAsia="Microsoft YaHei" w:cs="Arial"/>
          <w:color w:val="243746"/>
          <w:sz w:val="22"/>
        </w:rPr>
        <w:t>成。F 层只从 OperationalScenario、StateTransition 和 Input/OutputTransformation 推导，不能把需求名词机械改成动词。每个 Function 具备输入、输出、前置、后置、副作用和失败模式。</w:t>
      </w:r>
    </w:p>
    <w:p>
      <w:pPr>
        <w:spacing w:before="120" w:after="180" w:line="300" w:lineRule="auto"/>
        <w:ind w:left="115" w:right="115"/>
        <w:pBdr>
          <w:left w:val="single" w:sz="16" w:space="8" w:color="9B1C1C"/>
        </w:pBdr>
        <w:shd w:fill="FCECEC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强制检查  </w:t>
      </w:r>
      <w:r>
        <w:rPr>
          <w:rFonts w:ascii="Arial" w:hAnsi="Arial" w:eastAsia="Microsoft YaHei"/>
          <w:color w:val="243746"/>
          <w:sz w:val="21"/>
        </w:rPr>
        <w:t>R-F 覆盖、输入来源、输出消费者、不可达功能、无终止循环、跨层实现细节泄漏，以及每个定量要求是否有可执行约束。</w:t>
      </w:r>
    </w:p>
    <w:p>
      <w:pPr>
        <w:pStyle w:val="Heading2"/>
        <w:keepNext/>
        <w:keepLines/>
      </w:pPr>
      <w:r>
        <w:t>L 层候选生成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首版不直接做复杂图优化。先由功能耦合图计算 data sharing、call frequency、transaction consistency、state ownership、security domain 和 deployment isolation，再用三种可解释模式模板生成候选：模块化单体、端口适配器分层单体、受控事件驱动拆分。应用 must-link、cannot-link、唯一状态所有权和最大组件规模约束，保留最多 3 套候选。</w:t>
      </w:r>
    </w:p>
    <w:p>
      <w:pPr>
        <w:pStyle w:val="Heading2"/>
        <w:keepNext/>
        <w:keepLines/>
      </w:pPr>
      <w:r>
        <w:t>P 层配置与 Trade Study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每个物理候选用 ComponentContract 描述 realizes、provides、requires、quality、resource、license、version 和 evidence。默认求解器采用能力匹配、依赖闭包、硬约束剪枝和有限枚举；可选 CP-SAT 适配器处理更大的离散配置问题。CP-SAT 适合整数约束，因此非整数指标需要缩放为整数，并应设置求解时间和候选数量上限 [6]。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656"/>
        <w:gridCol w:w="4536"/>
        <w:gridCol w:w="3168"/>
      </w:tblGrid>
      <w:tr>
        <w:trPr>
          <w:tblHeader w:val="true"/>
          <w:cantSplit/>
        </w:trPr>
        <w:tc>
          <w:tcPr>
            <w:tcW w:type="dxa" w:w="16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453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处理</w:t>
            </w:r>
          </w:p>
        </w:tc>
        <w:tc>
          <w:tcPr>
            <w:tcW w:type="dxa" w:w="316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硬约束过滤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能力、接口、资源、部署域、许可证、版本、互斥和依赖。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可行候选与不可行原因。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Pareto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开发量、接口数、成本、性能、风险、维护性、本地可控性。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非支配候选集合。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决策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归一化加权效用 + 权重敏感性；估计值保留区间。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推荐基线、备选方案和翻转条件。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实测回填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仿真、benchmark、替换测试和运行证据逐步替换 Estimated；保留 Calculated 与 Unknown。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更新后的 Decision 与证据等级，不篡改历史结论。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实现抽取、模型求差与任务</w:t>
      </w:r>
    </w:p>
    <w:p>
      <w:pPr>
        <w:keepLines/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首版 ActualModel 由 Python ast、OpenAPI JSON、迁移/DDL 清单、pytest/JUnit XML 和部署清单确定性抽取。Delta 类型固定为 MISSING、EXTRA、MISMATCH、UNVERIFIED、OUTDATED 和 UNALLOCATED。TaskContract 必须包含 targets、read_set、write_set、invariants、expected_model_delta、acceptance 和 evidence_requirements。任务依赖使用标准库 graphlib.TopologicalSorter 生成 DAG，并检查环依赖和同文件并发写。</w:t>
      </w:r>
    </w:p>
    <w:p>
      <w:pPr>
        <w:pStyle w:val="Heading1"/>
        <w:keepNext/>
        <w:keepLines/>
        <w:pageBreakBefore w:val="0"/>
      </w:pPr>
      <w:r>
        <w:t>仿真与验证闭环</w:t>
      </w:r>
    </w:p>
    <w:p>
      <w:pPr>
        <w:spacing w:before="120" w:after="180" w:line="300" w:lineRule="auto"/>
        <w:ind w:left="115" w:right="115"/>
        <w:pBdr>
          <w:left w:val="single" w:sz="16" w:space="8" w:color="2E74B5"/>
        </w:pBdr>
        <w:shd w:fill="F4F7FB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定位  </w:t>
      </w:r>
      <w:r>
        <w:rPr>
          <w:rFonts w:ascii="Arial" w:hAnsi="Arial" w:eastAsia="Microsoft YaHei"/>
          <w:color w:val="243746"/>
          <w:sz w:val="21"/>
        </w:rPr>
        <w:t>不实现完整 fUML/SysML 执行器，而是定义一个与 RFLP 对象一一映射的、可测试的执行语义子集。这个子集用于比较候选、发现缺失行为和生成验证证据；超出子集的模型必须明确标记为 non-executable。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12898"/>
            <wp:docPr id="2" name="Picture 2" descr="Deterministic simulation loop from scenario and event queue through behavior, state update, constraints, and evidence" title="Simulation and Verification 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Arial" w:hAnsi="Arial" w:eastAsia="Microsoft YaHei"/>
          <w:i/>
          <w:color w:val="667085"/>
          <w:sz w:val="18"/>
        </w:rPr>
        <w:t>图 2  仿真执行闭环：模型输入、事件推进、约束判断和证据输出均可复现</w:t>
      </w:r>
    </w:p>
    <w:p>
      <w:pPr>
        <w:pStyle w:val="Heading2"/>
        <w:keepNext/>
        <w:keepLines/>
      </w:pPr>
      <w:r>
        <w:t>可执行语义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2376"/>
        <w:gridCol w:w="4320"/>
        <w:gridCol w:w="2664"/>
      </w:tblGrid>
      <w:tr>
        <w:trPr>
          <w:tblHeader w:val="true"/>
          <w:cantSplit/>
        </w:trPr>
        <w:tc>
          <w:tcPr>
            <w:tcW w:type="dxa" w:w="237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RFLP 信息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仿真投影</w:t>
            </w:r>
          </w:p>
        </w:tc>
        <w:tc>
          <w:tcPr>
            <w:tcW w:type="dxa" w:w="266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验证结果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R: Constraint / AcceptanceCriterion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安全表达式断言、阈值、时间窗、覆盖条件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pass/fail、首次违规时刻、反例轨迹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F: Function / Flow / StateTransition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纯行为处理器、事件、输入输出、guard、前后置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功能可达性、死路、未消费输出、异常分支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L: Component / Interface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状态所有权、事件路由、同步/异步、队列和错误语义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接口闭合、循环依赖、时序和一致性风险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P: Resource / Deployment / Failure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容量、服务时间、并发度、故障率、恢复策略、成本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延迟、吞吐、资源占用、可靠性和成本分布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实现方式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Event 使用 time、priority、sequence、kind、target、payload；heapq 保证稳定顺序。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Behavior handler 接收只读上下文并返回 state delta、resource delta 和新事件，避免隐式全局状态。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约束表达式只允许白名单 AST 节点、字段和函数；禁止 eval、文件访问和网络访问。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同一 seed 下随机源、事件排序、候选顺序和浮点舍入策略固定；输出 canonical JSON。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每条 trace event 绑定 scenario、model element、baseline、candidate 和 code version。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仿真失败不直接改变模型；它生成 Evidence 和 Issue/ChangeRequest。</w:t>
      </w:r>
    </w:p>
    <w:p>
      <w:pPr>
        <w:pStyle w:val="Heading2"/>
        <w:keepNext/>
        <w:keepLines/>
      </w:pPr>
      <w:r>
        <w:t>四种仿真模式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656"/>
        <w:gridCol w:w="3528"/>
        <w:gridCol w:w="4176"/>
      </w:tblGrid>
      <w:tr>
        <w:trPr>
          <w:tblHeader w:val="true"/>
          <w:cantSplit/>
        </w:trPr>
        <w:tc>
          <w:tcPr>
            <w:tcW w:type="dxa" w:w="16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模式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目的</w:t>
            </w:r>
          </w:p>
        </w:tc>
        <w:tc>
          <w:tcPr>
            <w:tcW w:type="dxa" w:w="417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单场景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验证行为链与验收条件。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恢复 V1 后 active_ref 改变，V2/V3 保留，审计事件存在。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参数扫描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识别阈值和设计边界。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并发数 1-100、服务时间和队列容量组合。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Monte Carlo（增强）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仅在随机故障或 Estimated 指标会影响研究结论时使用，不作为 V1 发布门禁。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故障率、重试延迟、API 成本和候选排名概率。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故障注入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验证降级、恢复和不变量。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写入中断、重复消息、超时、组件不可用。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仿真首版验收与增强边界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同一案例连续运行两次，事件序列和摘要哈希一致。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至少覆盖 5 个正常场景、3 个边界场景和 3 个故障场景。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能够自动比较 2-3 套 L/P 候选，并输出指标、失败需求和反例轨迹。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每个 Requirement 的仿真验证结果都能追到 VerificationCase 和 Evidence。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10,000 个事件的基准目标在普通笔记本上 2 秒级完成；达不到时先优化数据结构，不引入分布式系统。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首版验收以确定性单场景、参数扫描和故障注入为主；Monte Carlo 只有在输入分布、样本来源和决策用途明确时才启用，不能用随机模拟替代真实 benchmark。</w:t>
      </w:r>
    </w:p>
    <w:p>
      <w:pPr>
        <w:pStyle w:val="Heading1"/>
        <w:keepNext/>
        <w:keepLines/>
      </w:pPr>
      <w:r>
        <w:t>安装、依赖与工程结构</w:t>
      </w:r>
    </w:p>
    <w:p>
      <w:pPr>
        <w:pStyle w:val="Heading2"/>
        <w:keepNext/>
        <w:keepLines/>
      </w:pPr>
      <w:r>
        <w:t>依赖分层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080"/>
        <w:gridCol w:w="4392"/>
        <w:gridCol w:w="3888"/>
      </w:tblGrid>
      <w:tr>
        <w:trPr>
          <w:tblHeader w:val="true"/>
          <w:cantSplit/>
        </w:trPr>
        <w:tc>
          <w:tcPr>
            <w:tcW w:type="dxa" w:w="10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安装档</w:t>
            </w:r>
          </w:p>
        </w:tc>
        <w:tc>
          <w:tcPr>
            <w:tcW w:type="dxa" w:w="43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依赖</w:t>
            </w:r>
          </w:p>
        </w:tc>
        <w:tc>
          <w:tcPr>
            <w:tcW w:type="dxa" w:w="388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能力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core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Python 3.11+ 标准库：dataclasses、sqlite3、json、ast、heapq、graphlib、argparse、subprocess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完整离线闭环、规则编译、RFLP、确定性仿真、最小 Profile/契约校验、求差、任务和静态报告。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ai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pydantic + httpx；连接本地或远程 OpenAI-compatible structured output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复杂 Claim 抽取、低置信度对齐和候选解释。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docs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python-docx + markdown-it-py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高保真 DOCX/Markdown 结构解析。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opt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ortools（可选）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较大 L/P 配置的 CP-SAT 求解，以及 Solver 第二真实实现；无该包时使用有界枚举实现。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api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fastapi + uvicorn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多人审核或外部 Agent 调用；不是本地首版前置。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ml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sentence-transformers / cross-encoder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仅在标注集证明 FTS5/字符召回不足后启用，不进入首版主链。</w:t>
            </w:r>
          </w:p>
        </w:tc>
      </w:tr>
    </w:tbl>
    <w:p>
      <w:pPr>
        <w:spacing w:before="40" w:after="60"/>
      </w:pP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SQLite FTS5 是 SQLite 的官方全文检索扩展，可在单文件数据库中建立虚拟全文索引 [5]。程序启动时必须执行 capability probe：如果当前 Python 的 SQLite 未启用 FTS5，则自动退化到别名精确匹配 + 字符 bigram 索引，而不是安装失败。</w:t>
      </w:r>
    </w:p>
    <w:p>
      <w:pPr>
        <w:pStyle w:val="Heading2"/>
        <w:keepNext/>
        <w:keepLines/>
      </w:pPr>
      <w:r>
        <w:t>建议安装体验</w:t>
      </w:r>
    </w:p>
    <w:p>
      <w:pPr>
        <w:spacing w:before="100" w:after="160" w:line="252" w:lineRule="auto"/>
        <w:ind w:left="259" w:right="259"/>
        <w:shd w:fill="F5F7FA" w:val="clear"/>
      </w:pPr>
      <w:r>
        <w:rPr>
          <w:rFonts w:ascii="Consolas" w:hAnsi="Consolas" w:eastAsia="Consolas"/>
          <w:color w:val="1F4D78"/>
          <w:sz w:val="17"/>
        </w:rPr>
        <w:t>python -m venv .venv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.venv/bin/pip install -e .                 # core; no Docker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.venv/bin/pip install -e '.[ai,docs,opt]'  # research profile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rflp init demo-project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rflp demo --seed 42</w:t>
      </w:r>
    </w:p>
    <w:p>
      <w:pPr>
        <w:spacing w:before="120" w:after="180" w:line="300" w:lineRule="auto"/>
        <w:ind w:left="115" w:right="115"/>
        <w:pBdr>
          <w:left w:val="single" w:sz="16" w:space="8" w:color="9B1C1C"/>
        </w:pBdr>
        <w:shd w:fill="FCECEC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安装门禁  </w:t>
      </w:r>
      <w:r>
        <w:rPr>
          <w:rFonts w:ascii="Arial" w:hAnsi="Arial" w:eastAsia="Microsoft YaHei"/>
          <w:color w:val="243746"/>
          <w:sz w:val="21"/>
        </w:rPr>
        <w:t>任何核心功能不得通过隐式导入可选包来失败。每个 optional adapter 必须延迟导入，并在缺包时给出明确的 pip extra 提示。</w:t>
      </w:r>
    </w:p>
    <w:p>
      <w:pPr>
        <w:pStyle w:val="Heading2"/>
        <w:keepNext/>
        <w:keepLines/>
      </w:pPr>
      <w:r>
        <w:t>建议仓库结构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3240"/>
        <w:gridCol w:w="6120"/>
      </w:tblGrid>
      <w:tr>
        <w:trPr>
          <w:tblHeader w:val="true"/>
          <w:cantSplit/>
        </w:trPr>
        <w:tc>
          <w:tcPr>
            <w:tcW w:type="dxa" w:w="32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路径</w:t>
            </w:r>
          </w:p>
        </w:tc>
        <w:tc>
          <w:tcPr>
            <w:tcW w:type="dxa" w:w="61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src/rflp_lite/domain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entities.py、relations.py、invariants.py、baseline.py、errors.py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src/rflp_lite/application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ingest.py、compile.py、synthesize.py、candidate.py、decide.py、diff.py、tasks.py；按用例保持小服务。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src/rflp_lite/simulation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events.py、engine.py、behavior.py、resources.py、constraints.py、evidence.py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src/rflp_lite/adapters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sqlite.py、json_io.py、python_ast.py、sysml_v2.py、llm_api.py、cp_sat.py、subprocess_host.py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src/rflp_lite/ports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store.py、llm.py、solver.py、analyzer.py、exporter.py、clock.py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src/rflp_lite/governance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contracts.py、profiles.py、manifest.py、dependency_rules.py、execution_policy.py、audit.py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src/rflp_lite/interface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cli.py、report.py、optional_api.py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schemas / examples / tests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版本化 JSON Schema、参考项目、golden 文件、unit/contract/e2e/perf 测试。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核心 CLI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944"/>
        <w:gridCol w:w="4032"/>
        <w:gridCol w:w="3384"/>
      </w:tblGrid>
      <w:tr>
        <w:trPr>
          <w:tblHeader w:val="true"/>
          <w:cantSplit/>
        </w:trPr>
        <w:tc>
          <w:tcPr>
            <w:tcW w:type="dxa" w:w="194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命令</w:t>
            </w:r>
          </w:p>
        </w:tc>
        <w:tc>
          <w:tcPr>
            <w:tcW w:type="dxa" w:w="403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作用</w:t>
            </w:r>
          </w:p>
        </w:tc>
        <w:tc>
          <w:tcPr>
            <w:tcW w:type="dxa" w:w="33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ingest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接入文档、代码和证据。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Artifact + TextSpan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compile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生成、对齐和审核 Claim。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Claim + Conflict + Patch proposal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build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构建 R/F 并生成 L/P 候选。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 + Candidate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check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执行层级、引用、覆盖和接口检查。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ConsistencyReport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simulate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运行场景、扫描或故障注入。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Trace + Metrics + Evidence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decide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硬约束、Pareto、敏感性和基线推荐。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Decision + Baseline proposal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diff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目标与实际实现求差。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DeltaSet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task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生成 TaskContract 和 DAG。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TaskContract JSON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export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导出 SysML v2、JSON 和静态报告。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Projection + mapping report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rflp extension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列出/校验/选择扩展，运行契约与故障健康检查。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CompatibilityReport + ContractEvidence + PluginRunEvidence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  <w:pageBreakBefore/>
      </w:pPr>
      <w:r>
        <w:t>端到端工作流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初始化: </w:t>
      </w:r>
      <w:r>
        <w:rPr>
          <w:rFonts w:ascii="Arial" w:hAnsi="Arial" w:eastAsia="Microsoft YaHei"/>
          <w:color w:val="243746"/>
          <w:sz w:val="22"/>
        </w:rPr>
        <w:t>创建 project.toml、SQLite 数据库、schema_version、默认规则和空基线。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扩展检查: 读取 Profile，校验启用实现的 Port/Schema 兼容性、契约证据与执行策略；高风险实现按策略进入受控子进程。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接入: </w:t>
      </w:r>
      <w:r>
        <w:rPr>
          <w:rFonts w:ascii="Arial" w:hAnsi="Arial" w:eastAsia="Microsoft YaHei"/>
          <w:color w:val="243746"/>
          <w:sz w:val="22"/>
        </w:rPr>
        <w:t>解析工程文档、对话导出、代码和测试结果，生成不可变来源定位。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编译: </w:t>
      </w:r>
      <w:r>
        <w:rPr>
          <w:rFonts w:ascii="Arial" w:hAnsi="Arial" w:eastAsia="Microsoft YaHei"/>
          <w:color w:val="243746"/>
          <w:sz w:val="22"/>
        </w:rPr>
        <w:t>规则与可选 LLM 输出原子 Claim；实体对齐产生 MERGE/REFINE/ALIAS/CONFLICT/CREATE/REVIEW。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审核: </w:t>
      </w:r>
      <w:r>
        <w:rPr>
          <w:rFonts w:ascii="Arial" w:hAnsi="Arial" w:eastAsia="Microsoft YaHei"/>
          <w:color w:val="243746"/>
          <w:sz w:val="22"/>
        </w:rPr>
        <w:t>静态 HTML/CLI 展示来源、候选对象、关系邻域和影响；确认后形成 ModelPatch。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构建 R/F: </w:t>
      </w:r>
      <w:r>
        <w:rPr>
          <w:rFonts w:ascii="Arial" w:hAnsi="Arial" w:eastAsia="Microsoft YaHei"/>
          <w:color w:val="243746"/>
          <w:sz w:val="22"/>
        </w:rPr>
        <w:t>从需求、场景、状态和 I/O 生成 R/F；执行覆盖与行为完整性检查。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生成 L/P: </w:t>
      </w:r>
      <w:r>
        <w:rPr>
          <w:rFonts w:ascii="Arial" w:hAnsi="Arial" w:eastAsia="Microsoft YaHei"/>
          <w:color w:val="243746"/>
          <w:sz w:val="22"/>
        </w:rPr>
        <w:t>模式模板 + 约束剪枝得到 2-3 套候选，并补齐接口和能力契约。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仿真和权衡: </w:t>
      </w:r>
      <w:r>
        <w:rPr>
          <w:rFonts w:ascii="Arial" w:hAnsi="Arial" w:eastAsia="Microsoft YaHei"/>
          <w:color w:val="243746"/>
          <w:sz w:val="22"/>
        </w:rPr>
        <w:t>先用可执行场景过滤不可行候选，再做 Pareto、加权效用和敏感性分析。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批准基线: </w:t>
      </w:r>
      <w:r>
        <w:rPr>
          <w:rFonts w:ascii="Arial" w:hAnsi="Arial" w:eastAsia="Microsoft YaHei"/>
          <w:color w:val="243746"/>
          <w:sz w:val="22"/>
        </w:rPr>
        <w:t>记录候选集合、淘汰原因、权重、证据、假设、批准人和哈希。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抽取实际模型: </w:t>
      </w:r>
      <w:r>
        <w:rPr>
          <w:rFonts w:ascii="Arial" w:hAnsi="Arial" w:eastAsia="Microsoft YaHei"/>
          <w:color w:val="243746"/>
          <w:sz w:val="22"/>
        </w:rPr>
        <w:t>由 Python AST、OpenAPI、测试与部署制品建立 ActualModel。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求差与任务: </w:t>
      </w:r>
      <w:r>
        <w:rPr>
          <w:rFonts w:ascii="Arial" w:hAnsi="Arial" w:eastAsia="Microsoft YaHei"/>
          <w:color w:val="243746"/>
          <w:sz w:val="22"/>
        </w:rPr>
        <w:t>生成 Delta、TaskContract 和 DAG；Agent 只收到最小模型切片和允许写范围。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执行与回写: </w:t>
      </w:r>
      <w:r>
        <w:rPr>
          <w:rFonts w:ascii="Arial" w:hAnsi="Arial" w:eastAsia="Microsoft YaHei"/>
          <w:color w:val="243746"/>
          <w:sz w:val="22"/>
        </w:rPr>
        <w:t>静态检查、单测、契约测试、模型一致性和仿真回归均通过后，接受 Evidence 并更新状态。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架构演化验证: 通过 Profile 替换 ClaimExtractor 或 Solver，并注入超时、崩溃和非法输出；验证核心代码零修改、受控失败且 Baseline 哈希不变。</w:t>
      </w:r>
    </w:p>
    <w:p>
      <w:pPr>
        <w:pStyle w:val="Heading2"/>
        <w:keepNext/>
        <w:keepLines/>
      </w:pPr>
      <w:r>
        <w:t>一次完整演示应看到什么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输入两份互相冲突的规划文档和一个未实现恢复接口的 Python 项目。系统先从利益相关方、场景和需求建立运行/R 视图，再构建 F/L/P；仿真发现某候选在重复消息下违反审计不变量并淘汰该候选；Python AST 求差生成受限 TaskContract，代码与测试完成后 Evidence 回写。演示末尾通过 Profile 切换 ClaimExtractor 或 Solver，并注入一次超时，证明核心代码与 Baseline 均未被影响。</w:t>
      </w:r>
    </w:p>
    <w:p>
      <w:pPr>
        <w:pStyle w:val="Heading1"/>
        <w:keepNext/>
        <w:keepLines/>
      </w:pPr>
      <w:r>
        <w:t>14 周实施计划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节奏原则  </w:t>
      </w:r>
      <w:r>
        <w:rPr>
          <w:rFonts w:ascii="Arial" w:hAnsi="Arial" w:eastAsia="Microsoft YaHei"/>
          <w:color w:val="243746"/>
          <w:sz w:val="21"/>
        </w:rPr>
        <w:t>每个阶段都必须产出可运行软件、测试和可复现样例。禁止连续数周只写 Schema、Prompt 或架构文档。下一阶段开始前，上一阶段的退出标准必须通过。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84"/>
        <w:gridCol w:w="691"/>
        <w:gridCol w:w="4320"/>
        <w:gridCol w:w="2765"/>
      </w:tblGrid>
      <w:tr>
        <w:trPr>
          <w:tblHeader w:val="true"/>
          <w:cantSplit/>
        </w:trPr>
        <w:tc>
          <w:tcPr>
            <w:tcW w:type="dxa" w:w="15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阶段</w:t>
            </w:r>
          </w:p>
        </w:tc>
        <w:tc>
          <w:tcPr>
            <w:tcW w:type="dxa" w:w="691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周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主要工作</w:t>
            </w:r>
          </w:p>
        </w:tc>
        <w:tc>
          <w:tcPr>
            <w:tcW w:type="dxa" w:w="2765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退出标准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P0 架构与范围定版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1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冻结参考项目、运行/功能/逻辑/物理视图边界、ADR、质量属性场景、允许依赖矩阵、Profile/Manifest v0。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空项目可 init；禁止依赖为 0；无可选包可启动；明确 14 周非目标。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P1 数据与治理脊柱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2-3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Artifact/TextSpan/Claim/ModelElement/Relation、Baseline/ChangeRequest、SQLite Repository 所有权、审计、Port/Schema/Profile 契约。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接入 3 类制品；稳定 ID、来源、基线快照可用；跨私有表访问为 0。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P2 语义编译与 R/F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4-5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原子化、分类、对齐、冲突、Patch；场景/需求/功能与覆盖检查；ClaimExtractor 替换证明。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10-20 条需求形成可审核 R/F；冲突不覆盖基线；切换两种 Extractor 时核心代码零修改。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P3 L/P 候选与决策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6-7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耦合图、模式模板、组件契约、硬约束、Pareto/敏感性；Heuristic 与第二 Solver 同契约替换。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稳定生成 2-3 套候选；淘汰原因可追溯；Solver 切换不修改核心。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P4 仿真与故障验证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8-9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确定性事件引擎、状态、资源、断言、参数扫描、正常/边界/故障场景；风险适配器超时/崩溃/非法输出注入。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至少 5 正常、3 边界、3 故障场景；同 seed 哈希一致；Baseline 完整率 100%。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P5 实现求差与任务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10-11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Python AST/OpenAPI/test 抽取、ActualModel、Delta、TaskContract、DAG、Evidence 回写。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完成 MISSING/MISMATCH/UNVERIFIED 闭环；写范围与不变量有效。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P6 集成、实验与发布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12-14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E2E、安装矩阵、架构演化微实验、小规模 A/B/C/消融、性能、文档、演示与数据冻结。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干净环境复现；两条证明链通过；v0.1 发布包、架构证据和实验数据冻结。</w:t>
            </w:r>
          </w:p>
        </w:tc>
      </w:tr>
    </w:tbl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可选第 15-16 周  </w:t>
      </w:r>
      <w:r>
        <w:rPr>
          <w:rFonts w:ascii="Arial" w:hAnsi="Arial" w:eastAsia="Microsoft YaHei"/>
          <w:color w:val="243746"/>
          <w:sz w:val="21"/>
        </w:rPr>
        <w:t>仅在正式验收要求完整插件隔离与兼容矩阵时启用：补齐 CodeAnalyzer 第二真实实现、N-1 兼容测试、完整 Monte Carlo、在线 SysML v2 API 或多人审核。不得同时全部开启，应由验收条款和瓶颈证据选择。</w:t>
      </w:r>
    </w:p>
    <w:p>
      <w:pPr>
        <w:spacing w:before="40" w:after="60"/>
      </w:pPr>
    </w:p>
    <w:p>
      <w:pPr>
        <w:pStyle w:val="Heading2"/>
        <w:keepNext/>
        <w:keepLines/>
      </w:pPr>
      <w:r>
        <w:t>每阶段固定工作法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周一冻结本周 Requirement、验收场景和非目标；重大变更走 ChangeRequest。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先写领域测试和端口契约，再写适配器；提交必须绑定 TaskContract 或 Issue。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每天运行 unit + contract；每个里程碑运行 e2e + simulation regression + install smoke。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每周保留一个可演示 baseline；演示失败优先修闭环，不扩展功能。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所有 prompt、模型、规则、阈值、随机种子和环境能力写入 run manifest。</w:t>
      </w:r>
    </w:p>
    <w:p>
      <w:pPr>
        <w:pStyle w:val="Heading2"/>
        <w:keepNext/>
        <w:keepLines/>
      </w:pPr>
      <w:r>
        <w:t>人员配置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84"/>
        <w:gridCol w:w="3888"/>
        <w:gridCol w:w="3888"/>
      </w:tblGrid>
      <w:tr>
        <w:trPr>
          <w:tblHeader w:val="true"/>
          <w:cantSplit/>
        </w:trPr>
        <w:tc>
          <w:tcPr>
            <w:tcW w:type="dxa" w:w="15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388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单人模式</w:t>
            </w:r>
          </w:p>
        </w:tc>
        <w:tc>
          <w:tcPr>
            <w:tcW w:type="dxa" w:w="388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2-3 人模式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系统/领域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负责运行/R/F/L/P 语义、Baseline、ADR 和门禁；只完成核心闭环。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1 人负责 domain/application/governance 和模型评审。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工程/平台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负责 SQLite、CLI、默认 Adapter 和发布；风险子进程与第二 Solver 可后移。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1 人负责 Repository、Adapters、子进程 Host、CI 和安装。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仿真/实验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P4 后集中投入；A/B/C 只做可行性，不承诺完整统计结论。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1 人负责 simulation、metrics、故障注入和受控实验。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导师/专家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每两周评审需求、架构候选和实验设计。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作为外部批准者，不直接修改基线。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</w:pPr>
      <w:r>
        <w:t>测试、实验与评价</w:t>
      </w:r>
    </w:p>
    <w:p>
      <w:pPr>
        <w:pStyle w:val="Heading2"/>
        <w:keepNext/>
        <w:keepLines/>
      </w:pPr>
      <w:r>
        <w:t>测试体系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320"/>
        <w:gridCol w:w="3528"/>
      </w:tblGrid>
      <w:tr>
        <w:trPr>
          <w:tblHeader w:val="true"/>
          <w:cantSplit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重点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典型门禁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Unit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领域不变量、状态机、关系规则、约束表达式、事件排序。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快、无 I/O；每个规则至少有正反例。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Contract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ModelStore、Repository、ClaimExtractor、Solver、Analyzer、Exporter；包含 Schema、错误、超时、确定性和副作用。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Fake 与启用的真实实现必须通过同一契约；未通过不得进入 Profile。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Golden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文档 -&gt; Claim、模型 -&gt; SysML、基线 -&gt; TaskContract、仿真摘要。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变更必须显式更新 fixture 和原因。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E2E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接入 -&gt; 候选 -&gt; 仿真 -&gt; 基线 -&gt; 求差 -&gt; Evidence。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参考项目一条命令完成并输出固定哈希。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Performance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接入、对齐、图查询、仿真事件和候选求解。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保存环境与分位数，防止平均值掩盖退化。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Install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core 与 extras 的干净环境、延迟导入和子进程降级。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无 Docker、无网络、无可选包时 core demo 可运行；扩展缺失只影响对应能力。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Architecture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依赖方向、Repository 所有权、Profile 切换、版本兼容和故障隔离。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禁止依赖为 0；关键 Port 替换核心改动为 0；故障后 Baseline 哈希不变。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对照实验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792"/>
        <w:gridCol w:w="4608"/>
        <w:gridCol w:w="3960"/>
      </w:tblGrid>
      <w:tr>
        <w:trPr>
          <w:tblHeader w:val="true"/>
          <w:cantSplit/>
        </w:trPr>
        <w:tc>
          <w:tcPr>
            <w:tcW w:type="dxa" w:w="7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组</w:t>
            </w:r>
          </w:p>
        </w:tc>
        <w:tc>
          <w:tcPr>
            <w:tcW w:type="dxa" w:w="460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方式</w:t>
            </w:r>
          </w:p>
        </w:tc>
        <w:tc>
          <w:tcPr>
            <w:tcW w:type="dxa" w:w="39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控制条件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直接读取规划文档开发。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相同模型、任务、初始代码和 token/时间预算。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B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使用 RAG 检索规划文档。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检索库含相同文档；保留召回日志。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使用 RFLP 基线 + TaskContract + 仿真/证据。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只读最小模型切片；修改范围受控。</w:t>
            </w:r>
          </w:p>
        </w:tc>
      </w:tr>
    </w:tbl>
    <w:p>
      <w:pPr>
        <w:spacing w:before="40" w:after="60"/>
      </w:pP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在 3-5 轮受控变更中依次注入需求阈值、接口字段、模块职责、架构约束和故障恢复变化，记录任务完成率、测试通过率、模型-代码一致率、接口漂移、架构违规、返工和人工干预。同时执行三项架构演化微实验：替换 ClaimExtractor、替换 Solver、注入扩展超时/崩溃。A/B/C 与消融在 V1 中定位为可行性和趋势证据，不因小样本直接宣称稳定因果提升。</w:t>
      </w:r>
    </w:p>
    <w:p>
      <w:pPr>
        <w:pStyle w:val="Heading2"/>
        <w:keepNext/>
        <w:keepLines/>
      </w:pPr>
      <w:r>
        <w:t>核心指标与目标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536"/>
        <w:gridCol w:w="3312"/>
      </w:tblGrid>
      <w:tr>
        <w:trPr>
          <w:tblHeader w:val="true"/>
          <w:cantSplit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453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33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建议目标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语义编译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片段分类 F1、原子拆分准确率、实体对齐 Accuracy/MRR、冲突 F1、人工确认率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先建立人工标注基线；关键对象对齐 Accuracy &gt;= 0.90。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模型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R-F 覆盖、F-L 分配、L-P 覆盖、接口闭合、来源追溯、一致性通过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已批准基线的追溯和必要分配均为 100%。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仿真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场景覆盖、断言通过、预测/实测误差、反例发现率、可复现率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同 seed 可复现 100%；至少发现并解释 3 类设计缺陷。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方案选择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可行候选数、专家一致、排名稳定、权重翻转点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每次输出 2-3 套候选和明确翻转条件。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开发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一次完成、测试通过、接口漂移、架构违规、返工、人工干预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 组在一致性/违规/返工上优于 A、B；不预设虚假提升幅度。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轻量化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安装时间、包体、启动、内存、数据库体积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core 无服务依赖；安装与资源目标见前述质量门禁。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架构适应性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禁止依赖数、核心替换改动数、变更外溢模块数、契约通过率、Baseline 完整率、核心独立成功率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禁止依赖 0；两个关键 Port 替换时核心改动 0；故障后 Baseline 完整率 100%；core-only 安装成功。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数据与统计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先构建 50-100 个高质量 Claim/Element 对齐样本和 20-30 个冲突样本，双人复核一部分以估计标注一致性。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每个 A/B/C 任务尽量重复 3 次并随机化顺序；固定模型版本、温度、工具权限和预算。样本不足时只报告描述性结果与不确定性，不强行做显著性结论。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报告中同时给出原始值、均值/中位数、离散程度和 bootstrap 置信区间；小样本不夸大显著性。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仿真预测必须与真实 benchmark 对照；所有结论标记 Measured、Calculated、Estimated 或 Unknown。Estimated/Unknown 不得伪装为实测结果，也不得单独通过强制发布门禁。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失败案例、人工修改轨迹和被拒绝 Patch 都保留，作为后续专用模型训练数据。</w:t>
      </w:r>
    </w:p>
    <w:p>
      <w:pPr>
        <w:pStyle w:val="Heading1"/>
        <w:keepNext/>
        <w:keepLines/>
      </w:pPr>
      <w:r>
        <w:t>风险、治理与最终交付</w:t>
      </w:r>
    </w:p>
    <w:p>
      <w:pPr>
        <w:pStyle w:val="Heading2"/>
        <w:keepNext/>
        <w:keepLines/>
      </w:pPr>
      <w:r>
        <w:t>风险登记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800"/>
        <w:gridCol w:w="3384"/>
        <w:gridCol w:w="4176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33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早期信号</w:t>
            </w:r>
          </w:p>
        </w:tc>
        <w:tc>
          <w:tcPr>
            <w:tcW w:type="dxa" w:w="417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缓解措施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范围失控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同时接入多语言、图数据库、前端和训练。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P0/P1/P2 功能分级；新增能力必须证明服务于核心实验。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语义抽取不稳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大量低置信度合并或冲突误判。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Claim/Model 分离、阈值审核、Golden 集、优先规则和别名。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SysML 映射失真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导出后关系丢失或对象身份变化。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版本化映射表、往返测试、projection hash 和不支持清单。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候选爆炸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组合数量或求解时间快速增长。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固定 2-3 模式、候选/时间上限、must/cannot-link 和先硬约束后评分。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仿真过度承诺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试图执行完整 SysML 或任意代码。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只承诺可执行子集；不支持对象标记 non-executable。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代码抽取脆弱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动态导入、装饰器和框架魔法导致漏检。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V1 固定 Python/FastAPI 约定；AST + OpenAPI 双证据；保留 Unknown。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实验不可归因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不同组的上下文、预算或模型不一致。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run manifest 固化；任务随机化；重复运行和消融。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安装变重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core 隐式依赖 torch、Docker 或数据库服务。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extras 延迟导入；独立安装 CI；核心离线 demo 门禁。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过度治理与平台化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开始建设插件市场、远程 Runtime、全端口双实现或复杂权限中心。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坚持 Adapter/Plugin 区分；V1 只做两 Port 替换、两运行模式和最小 Manifest。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共享 SQLite 形成隐性耦合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模块直接查询其他模块私有表，修改 Schema 时多模块同时变化。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Repository 所有权、公开查询投影、SQL/依赖审查；跨私有表访问为 0。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隔离机制反而拖慢主线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子进程协议、重试和备用策略成为独立平台项目。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仅风险扩展使用单请求 JSON 协议和严格超时；remote、资源调度和市场化后移。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十个架构决策记录（ADR）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ADR-001：V1 采用模块化单体核心；风险扩展可进入受控子进程，微服务和远程插件平台不是默认方向。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ADR-002：Canonical RFLP Model 是事务真源；SysML v2 是确定性标准投影和可替换仓库适配器。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ADR-003：SQLite/JSON 是默认数据平面；各模块实行 Repository 所有权，PostgreSQL、pgvector、Neo4j 后置。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ADR-004：LLM 只产生 Claim/Patch proposal，不拥有基线写权限。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ADR-005：仿真采用受限离散事件与状态转换语义，不实现完整 fUML。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ADR-006：默认求解器采用可解释规则与有界枚举；第二真实实现可选 CP-SAT，Z3 不进入 V1。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ADR-007：Baseline 和 Evidence 追加式不可变；变更通过 ChangeRequest 和 supersede。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ADR-008：内置稳定能力作为 Adapter；只有独立安装、高变化或高风险实现才要求 Manifest 和运行策略。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ADR-009：V1 只实现 in_process 与 subprocess；风险扩展默认隔离，remote 仅保留演进接口。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ADR-010：Port、Schema 和 Profile 版本化；架构依赖、替换与故障证据和业务测试同等阻断发布。</w:t>
      </w:r>
    </w:p>
    <w:p>
      <w:pPr>
        <w:pStyle w:val="Heading2"/>
        <w:keepNext/>
        <w:keepLines/>
      </w:pPr>
      <w:r>
        <w:t>最终交付清单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可安装的 rflp-lite Python 包、CLI、core/ai/docs/opt/api extras，以及轻量 governance/profile/contract 支持。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Canonical Model JSON Schema、SQLite migration、Repository 所有权规则、关系语义、Port/Schema/Profile 契约和 SysML v2 映射规范。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VersionedContentService 参考项目、10-20 条需求、2-3 套候选和 20-30 个组件契约。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确定性仿真场景集、故障注入、参数扫描和 Evidence 报告；Monte Carlo 作为可选研究增强，不列为核心交付硬门禁。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Python AST/OpenAPI/test 抽取、Delta、TaskContract 和 DAG 示例。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小规模 A/B/C、消融与架构演化微实验数据，配套评价脚本、run manifest、证据等级和复现实验说明。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架构 ADR、用户手册、开发手册、演示脚本和论文图表。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架构适应性证据包：依赖检查、两个关键 Port 替换记录、扩展故障注入、Baseline 完整性和 core-only 安装结果。</w:t>
      </w:r>
    </w:p>
    <w:p>
      <w:pPr>
        <w:pStyle w:val="Heading2"/>
        <w:keepNext/>
        <w:keepLines/>
      </w:pPr>
      <w:r>
        <w:t>最终验收：15-20 分钟双证明链演示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在无 Docker 的干净环境安装 core 并运行 rflp init。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接入两份规划文档与一个 Python 项目，展示来源定位和别名冲突。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审核 Patch，构建 R/F 和三套 L/P 候选。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运行正常、边界和故障仿真，展示某候选的反例轨迹。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完成 Trade Study，批准基线并导出 SysML v2 映射报告。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抽取 ActualModel，生成 Delta、TaskContract 和 DAG。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执行修复、测试与仿真回归，接受 Evidence 并将需求标记 verified。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通过 Profile 切换 ClaimExtractor 或 Solver，随后注入扩展超时/非法输出，展示核心代码零修改、受控失败和 Baseline 哈希不变。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打开静态审计报告，从需求逐层追到代码、测试和仿真证据。</w:t>
      </w:r>
    </w:p>
    <w:p>
      <w:pPr>
        <w:spacing w:before="120" w:after="180" w:line="300" w:lineRule="auto"/>
        <w:ind w:left="115" w:right="115"/>
        <w:pBdr>
          <w:left w:val="single" w:sz="16" w:space="8" w:color="2F6B4F"/>
        </w:pBdr>
        <w:shd w:fill="EAF5EE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项目做好了的标准  </w:t>
      </w:r>
      <w:r>
        <w:rPr>
          <w:rFonts w:ascii="Arial" w:hAnsi="Arial" w:eastAsia="Microsoft YaHei"/>
          <w:color w:val="243746"/>
          <w:sz w:val="21"/>
        </w:rPr>
        <w:t>不是“生成了很多模型文本”或“搭建了完整插件平台”，而是任意需求都能回答：来源是什么、运行场景为何需要、由哪些功能满足、分配给哪个逻辑组件、由哪个物理实现承担、候选为何被选择、如何通过仿真和测试验证、当前代码是否一致、下一任务允许改什么；同时替换关键实现或发生扩展故障时，核心边界和 Baseline 仍然保持完整。</w:t>
      </w:r>
    </w:p>
    <w:p>
      <w:pPr>
        <w:pStyle w:val="Heading1"/>
        <w:keepNext/>
        <w:keepLines/>
      </w:pPr>
      <w:r>
        <w:t>参考资料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[1] Aistė Aleksandravičienė, Aurelijus Morkevičius. MagicGrid®知识体系（第二版）_.pdf. 重点参考 pp.11, 14, 66, 113, 117, 159, 256, 288。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[2] MBSE 实践案例 Toothbrush(1).pptx. 重点参考 slides 3-7, 9-11, 13-21, 23-29, 31-40。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[3] 黄家豪. MBSE_RFLP_AI_Agent_Report v0.1(2).pdf. pp.1-12。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内部优化依据：《从“相关研究有什么可借鉴”到可执行方案：跨领域研究综述与行动指南》；《RFLP-Lite 项目执行框架与路径优化研究报告草案》。二者用于证据分级、架构适应性和范围取舍，不替代本规划的项目判断。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[4] Object Management Group. SysML 2.0 specification and official resources: https://www.omg.org/spec/SysML/2.0/About-SysML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[5] SQLite. FTS5 Extension: https://www.sqlite.org/fts5.html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[6] Google OR-Tools. CP-SAT Solver: https://developers.google.com/optimization/cp/cp_solver</w:t>
      </w:r>
    </w:p>
    <w:p>
      <w:pPr>
        <w:pStyle w:val="Heading2"/>
        <w:keepNext/>
        <w:keepLines/>
      </w:pPr>
      <w:r>
        <w:t>本规划的实施优先级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224"/>
        <w:gridCol w:w="5040"/>
        <w:gridCol w:w="3096"/>
      </w:tblGrid>
      <w:tr>
        <w:trPr>
          <w:tblHeader w:val="true"/>
          <w:cantSplit/>
        </w:trPr>
        <w:tc>
          <w:tcPr>
            <w:tcW w:type="dxa" w:w="122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优先级</w:t>
            </w:r>
          </w:p>
        </w:tc>
        <w:tc>
          <w:tcPr>
            <w:tcW w:type="dxa" w:w="50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必须完成</w:t>
            </w:r>
          </w:p>
        </w:tc>
        <w:tc>
          <w:tcPr>
            <w:tcW w:type="dxa" w:w="309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进入下一优先级的条件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P0 核心闭环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运行/R/F/L/P、数据脊柱、Baseline、有限候选、确定性仿真、求差、TaskContract、Evidence、CLI、最小治理和两 Port 替换。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端到端业务闭环与架构演化证明均可复现，核心指标可计算。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P1 增强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DOCX、LLM structured output、CodeAnalyzer 第二实现、CP-SAT、Monte Carlo、SysML v2 API、可选 FastAPI。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P0 的真实瓶颈有数据证明，新增能力不破坏契约和安装门禁。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t>P2 研究/平台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embedding/cross-encoder、完整 N-1 兼容、多用户协作、远程插件 Runtime、图数据库、多语言。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对照与运行证据证明新增复杂度有明确收益，并有独立资源维护。</w:t>
            </w:r>
          </w:p>
        </w:tc>
      </w:tr>
    </w:tbl>
    <w:p>
      <w:pPr>
        <w:spacing w:before="40"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Microsoft YaHei"/>
        <w:color w:val="667085"/>
        <w:sz w:val="18"/>
      </w:rPr>
      <w:t xml:space="preserve">Page </w:t>
    </w:r>
    <w:r>
      <w:rPr>
        <w:rFonts w:ascii="Arial" w:hAnsi="Arial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Microsoft YaHei"/>
        <w:color w:val="667085"/>
        <w:sz w:val="18"/>
      </w:rPr>
      <w:t xml:space="preserve"> / </w:t>
    </w:r>
    <w:r>
      <w:rPr>
        <w:rFonts w:ascii="Arial" w:hAnsi="Arial" w:eastAsia="Microsoft YaHe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icrosoft YaHei"/>
        <w:b/>
        <w:color w:val="667085"/>
        <w:sz w:val="17"/>
      </w:rPr>
      <w:t>MBSE × AI Agent  |  Lightweight Execution Plan</w:t>
    </w:r>
    <w:r>
      <w:rPr>
        <w:rFonts w:ascii="Arial" w:hAnsi="Arial" w:eastAsia="Microsoft YaHei"/>
        <w:color w:val="667085"/>
        <w:sz w:val="17"/>
      </w:rPr>
      <w:t xml:space="preserve">                  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AI Agent 软件开发的 RFLP 轻量化项目执行规划（审慎优化版）</dc:title>
  <dc:subject>在保留轻量主链的前提下，加入最小可修改性、替换与故障隔离门禁</dc:subject>
  <dc:creator>Project Planning Draft</dc:creator>
  <cp:keywords>MBSE, MagicGrid, RFLP, AI Agent, SysML v2, simulation</cp:keywords>
  <dc:description>v1.1：依据两份优化研究与 Toothbrush MBSE 方法用意进行审慎修订，未整体照搬平台化方案。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