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left"/>
        <w:widowControl/>
      </w:pPr>
      <w:r>
        <w:rPr>
          <w:rFonts w:ascii="Noto Sans CJK SC" w:hAnsi="Noto Sans CJK SC" w:eastAsia="Noto Sans CJK SC"/>
          <w:b/>
          <w:color w:val="C69A3B"/>
          <w:sz w:val="20"/>
        </w:rPr>
        <w:t>OPEN-SOURCE COMPONENT STUDY</w:t>
      </w:r>
    </w:p>
    <w:p>
      <w:pPr>
        <w:spacing w:before="100" w:after="80"/>
        <w:widowControl/>
      </w:pPr>
      <w:r>
        <w:rPr>
          <w:rFonts w:ascii="Noto Sans CJK SC" w:hAnsi="Noto Sans CJK SC" w:eastAsia="Noto Sans CJK SC"/>
          <w:b/>
          <w:color w:val="17324D"/>
          <w:sz w:val="54"/>
        </w:rPr>
        <w:t>RFLP-Lite 可复用开源项目组件</w:t>
        <w:br/>
        <w:t>调研与选型建议</w:t>
      </w:r>
    </w:p>
    <w:p>
      <w:pPr>
        <w:pStyle w:val="SubtitleCN"/>
        <w:spacing w:after="360"/>
        <w:widowControl/>
      </w:pPr>
      <w:r>
        <w:rPr>
          <w:rFonts w:ascii="Noto Sans CJK SC" w:hAnsi="Noto Sans CJK SC" w:eastAsia="Noto Sans CJK SC"/>
          <w:color w:val="5E6B75"/>
          <w:sz w:val="26"/>
        </w:rPr>
        <w:t>面向 AI Agent 软件开发的轻量化 MBSE 工具链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"/>
        <w:gridCol w:w="8787"/>
      </w:tblGrid>
      <w:tr>
        <w:tc>
          <w:tcPr>
            <w:tcW w:type="dxa" w:w="4933"/>
            <w:shd w:fill="C69A3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EAF3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24D"/>
                <w:sz w:val="18"/>
              </w:rPr>
              <w:t>规划定位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4313C"/>
                <w:sz w:val="19"/>
              </w:rPr>
              <w:t>在不推翻“模块化单体核心 + Ports/Adapters + SQLite/JSON + 可选增强包”主架构的前提下，识别能够高复用、低侵入地替代通用工程工作的开源组件，并明确哪些应进入 V1、哪些仅作为可选 Adapter、哪些必须后移。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c>
          <w:tcPr>
            <w:tcW w:type="dxa" w:w="4933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文档版本</w:t>
            </w:r>
          </w:p>
        </w:tc>
        <w:tc>
          <w:tcPr>
            <w:tcW w:type="dxa" w:w="493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r>
              <w:rPr>
                <w:rFonts w:ascii="Noto Sans CJK SC" w:hAnsi="Noto Sans CJK SC" w:eastAsia="Noto Sans CJK SC"/>
                <w:color w:val="24313C"/>
                <w:sz w:val="17"/>
              </w:rPr>
              <w:t>v1.0</w:t>
            </w:r>
          </w:p>
        </w:tc>
      </w:tr>
      <w:tr>
        <w:tc>
          <w:tcPr>
            <w:tcW w:type="dxa" w:w="4933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形成日期</w:t>
            </w:r>
          </w:p>
        </w:tc>
        <w:tc>
          <w:tcPr>
            <w:tcW w:type="dxa" w:w="493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r>
              <w:rPr>
                <w:rFonts w:ascii="Noto Sans CJK SC" w:hAnsi="Noto Sans CJK SC" w:eastAsia="Noto Sans CJK SC"/>
                <w:color w:val="24313C"/>
                <w:sz w:val="17"/>
              </w:rPr>
              <w:t>2026 年 8 月</w:t>
            </w:r>
          </w:p>
        </w:tc>
      </w:tr>
      <w:tr>
        <w:tc>
          <w:tcPr>
            <w:tcW w:type="dxa" w:w="4933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主要依据</w:t>
            </w:r>
          </w:p>
        </w:tc>
        <w:tc>
          <w:tcPr>
            <w:tcW w:type="dxa" w:w="493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r>
              <w:rPr>
                <w:rFonts w:ascii="Noto Sans CJK SC" w:hAnsi="Noto Sans CJK SC" w:eastAsia="Noto Sans CJK SC"/>
                <w:color w:val="24313C"/>
                <w:sz w:val="17"/>
              </w:rPr>
              <w:t>《RFLP 轻量化项目执行规划（审慎优化版）》及官方开源项目资料</w:t>
            </w:r>
          </w:p>
        </w:tc>
      </w:tr>
      <w:tr>
        <w:tc>
          <w:tcPr>
            <w:tcW w:type="dxa" w:w="4933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建议用途</w:t>
            </w:r>
          </w:p>
        </w:tc>
        <w:tc>
          <w:tcPr>
            <w:tcW w:type="dxa" w:w="493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r>
              <w:rPr>
                <w:rFonts w:ascii="Noto Sans CJK SC" w:hAnsi="Noto Sans CJK SC" w:eastAsia="Noto Sans CJK SC"/>
                <w:color w:val="24313C"/>
                <w:sz w:val="17"/>
              </w:rPr>
              <w:t>项目立项、技术选型、依赖治理、任务拆分与后续执行规划修订</w:t>
            </w:r>
          </w:p>
        </w:tc>
      </w:tr>
    </w:tbl>
    <w:p>
      <w:pPr>
        <w:spacing w:after="0"/>
        <w:widowControl/>
      </w:pPr>
    </w:p>
    <w:p>
      <w:pPr>
        <w:spacing w:before="440"/>
        <w:widowControl/>
      </w:pPr>
      <w:r>
        <w:rPr>
          <w:rFonts w:ascii="Noto Sans CJK SC" w:hAnsi="Noto Sans CJK SC" w:eastAsia="Noto Sans CJK SC"/>
          <w:b/>
          <w:color w:val="2B6F9C"/>
          <w:sz w:val="20"/>
        </w:rPr>
        <w:t>核心结论：优先复用“通用、稳定、边界清晰”的能力；对 AI、重型解析、仿真和平台化能力坚持可选接入，不让开源项目反向绑架领域内核。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执行摘要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68"/>
      </w:tblGrid>
      <w:tr>
        <w:tc>
          <w:tcPr>
            <w:tcW w:type="dxa" w:w="4933"/>
            <w:shd w:fill="2B6F9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一句话结论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4313C"/>
                <w:sz w:val="18"/>
              </w:rPr>
              <w:t>V1 最值得直接采用的组件是 Import Linter、JSON Schema 工具链、OR-Tools CP-SAT、Prance、junitparser 与 Hypothesis；RapidFuzz可作为轻量实体对齐增强。Pydantic、Instructor、llama.cpp/Ollama、OpenAPI-core 与 Docling应通过可选 Adapter 接入。SimPy、NetworkX、sentence-transformers、MLflow、SysON和完整插件框架暂不进入主链。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选型原则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不改变事务真源：所有外部组件只能输出 Claim、Proposal、Candidate 或 EvidenceCandidate，不能直接写入正式 Baseline。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不增加核心安装负担：core 保持 Python 3.11+ 标准库可运行；第三方组件进入 dev、ai、docs、opt、evidence 或 research extras。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通过 Port 而不是供应商 API 耦合：应用层只依赖 ClaimExtractor、Solver、CodeAnalyzer、Exporter、Repository 等稳定契约。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优先复用通用工程能力：架构依赖检查、Schema 校验、求解、OpenAPI/JUnit 解析、性质测试不宜重复造轮子。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重能力必须有退出条件：只有实测证明默认方案不足，才启用向量模型、复杂文档 AI、完整仿真框架或实验平台。</w:t>
      </w:r>
    </w:p>
    <w:p>
      <w:pPr>
        <w:pStyle w:val="Heading2"/>
        <w:keepNext/>
        <w:widowControl/>
      </w:pPr>
      <w:r>
        <w:t>组件分级总览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3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6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198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进入方式</w:t>
            </w:r>
          </w:p>
        </w:tc>
        <w:tc>
          <w:tcPr>
            <w:tcW w:type="dxa" w:w="266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总体判断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A：V1 直接采用</w:t>
            </w:r>
          </w:p>
        </w:tc>
        <w:tc>
          <w:tcPr>
            <w:tcW w:type="dxa" w:w="36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Import Linter、jsonschema/check-jsonschema、OR-Tools、Prance、junitparser、Hypothesis</w:t>
            </w:r>
          </w:p>
        </w:tc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开发依赖或明确 Adapter</w:t>
            </w:r>
          </w:p>
        </w:tc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收益明确、边界清晰、可直接替代通用工程工作</w:t>
            </w:r>
          </w:p>
        </w:tc>
      </w:tr>
      <w:tr>
        <w:trPr>
          <w:cantSplit/>
        </w:trPr>
        <w:tc>
          <w:tcPr>
            <w:tcW w:type="dxa" w:w="153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B：V1 可选增强</w:t>
            </w:r>
          </w:p>
        </w:tc>
        <w:tc>
          <w:tcPr>
            <w:tcW w:type="dxa" w:w="362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RapidFuzz、Pydantic、Instructor、llama.cpp/Ollama、OpenAPI-core、Docling</w:t>
            </w:r>
          </w:p>
        </w:tc>
        <w:tc>
          <w:tcPr>
            <w:tcW w:type="dxa" w:w="198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extras + Port/Profile</w:t>
            </w:r>
          </w:p>
        </w:tc>
        <w:tc>
          <w:tcPr>
            <w:tcW w:type="dxa" w:w="266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有价值，但不能成为 core 硬依赖</w:t>
            </w:r>
          </w:p>
        </w:tc>
      </w:tr>
      <w:tr>
        <w:trPr>
          <w:cantSplit/>
        </w:trPr>
        <w:tc>
          <w:tcPr>
            <w:tcW w:type="dxa" w:w="15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C：研究/后续</w:t>
            </w:r>
          </w:p>
        </w:tc>
        <w:tc>
          <w:tcPr>
            <w:tcW w:type="dxa" w:w="36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SimPy、NetworkX、sentence-transformers、MLflow、SysML v2 工具、SysON、Pluggy</w:t>
            </w:r>
          </w:p>
        </w:tc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research/plugin/external integration</w:t>
            </w:r>
          </w:p>
        </w:tc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需由真实瓶颈或验收要求触发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与原执行规划的对应关系</w:t>
      </w:r>
    </w:p>
    <w:p>
      <w:pPr>
        <w:spacing w:after="80" w:line="283" w:lineRule="auto"/>
        <w:widowControl/>
      </w:pPr>
      <w:r>
        <w:rPr>
          <w:rFonts w:ascii="Noto Sans CJK SC" w:hAnsi="Noto Sans CJK SC" w:eastAsia="Noto Sans CJK SC"/>
          <w:color w:val="24313C"/>
          <w:sz w:val="19"/>
        </w:rPr>
        <w:t>原规划要求首版维持模块化单体、SQLite/JSON 默认数据平面、确定性规则包围 LLM、风险扩展受控隔离、核心无 Docker/GPU 也可运行，并对 ClaimExtractor 与 Solver 完成真实替换证明。[A] 本报告仅在这些约束下引入开源组件，不将项目改造成通用插件平台、文档平台、MLOps 平台或完整 SysML 编辑器。</w:t>
      </w:r>
    </w:p>
    <w:p>
      <w:pPr>
        <w:pStyle w:val="Heading1"/>
        <w:keepNext/>
        <w:widowControl/>
      </w:pPr>
      <w:r>
        <w:t>1. 选型边界与评估标准</w:t>
      </w:r>
    </w:p>
    <w:p>
      <w:pPr>
        <w:pStyle w:val="Heading2"/>
        <w:keepNext/>
        <w:widowControl/>
      </w:pPr>
      <w:r>
        <w:t>1.1 必须保留的架构边界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6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边界</w:t>
            </w:r>
          </w:p>
        </w:tc>
        <w:tc>
          <w:tcPr>
            <w:tcW w:type="dxa" w:w="351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4706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对开源组件的约束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领域内核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不依赖数据库、HTTP、LLM、框架或文件格式</w:t>
            </w:r>
          </w:p>
        </w:tc>
        <w:tc>
          <w:tcPr>
            <w:tcW w:type="dxa" w:w="470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第三方库不得进入 domain；通过端口输入已校验的数据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数据所有权</w:t>
            </w:r>
          </w:p>
        </w:tc>
        <w:tc>
          <w:tcPr>
            <w:tcW w:type="dxa" w:w="351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共享 SQLite 文件，但 Repository 私有表不可跨模块直查</w:t>
            </w:r>
          </w:p>
        </w:tc>
        <w:tc>
          <w:tcPr>
            <w:tcW w:type="dxa" w:w="4706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数据库工具只能封装在所属 Adapter/Repository 内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Baseline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不可变、追加式、经 ChangeRequest/批准点更新</w:t>
            </w:r>
          </w:p>
        </w:tc>
        <w:tc>
          <w:tcPr>
            <w:tcW w:type="dxa" w:w="470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任何开源组件失败均不得改变 Baseline 哈希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可安装性</w:t>
            </w:r>
          </w:p>
        </w:tc>
        <w:tc>
          <w:tcPr>
            <w:tcW w:type="dxa" w:w="351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core 无 Docker、数据库服务、GPU 与可选包也可运行</w:t>
            </w:r>
          </w:p>
        </w:tc>
        <w:tc>
          <w:tcPr>
            <w:tcW w:type="dxa" w:w="4706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第三方能力使用 extras、延迟导入和能力探测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可替换性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关键 Port 使用同契约的两种实现完成真实切换</w:t>
            </w:r>
          </w:p>
        </w:tc>
        <w:tc>
          <w:tcPr>
            <w:tcW w:type="dxa" w:w="470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组件 API 必须被内部契约包裹，Profile 负责选择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故障隔离</w:t>
            </w:r>
          </w:p>
        </w:tc>
        <w:tc>
          <w:tcPr>
            <w:tcW w:type="dxa" w:w="351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超时、崩溃、非法输出只形成受控失败</w:t>
            </w:r>
          </w:p>
        </w:tc>
        <w:tc>
          <w:tcPr>
            <w:tcW w:type="dxa" w:w="4706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高风险解析器/LLM/外部求解器优先 subprocess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1.2 评估维度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适配性：是否能够对应既有 Port、Repository 或测试门禁，而不是要求重写主架构。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轻量性：是否可以作为可选依赖、离线运行、延迟导入，并在缺失时平稳降级。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确定性与可审计性：是否支持固定配置、错误语义、超时、版本记录和结果复现。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替代价值：是否真正减少通用工程代码，而不是只增加一层框架封装。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风险与锁定：是否容易把供应商字段、运行时或数据模型泄漏到领域核心。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演进价值：是否能支持论文实验、第二实现或后期平台化，但又不提前消耗主线资源。</w:t>
      </w:r>
    </w:p>
    <w:p>
      <w:pPr>
        <w:pStyle w:val="Heading1"/>
        <w:keepNext/>
        <w:widowControl/>
      </w:pPr>
      <w:r>
        <w:t>2. V1 建议直接采用的开源组件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36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130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43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建议接法</w:t>
            </w:r>
          </w:p>
        </w:tc>
        <w:tc>
          <w:tcPr>
            <w:tcW w:type="dxa" w:w="215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主要价值</w:t>
            </w:r>
          </w:p>
        </w:tc>
        <w:tc>
          <w:tcPr>
            <w:tcW w:type="dxa" w:w="243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边界/风险</w:t>
            </w:r>
          </w:p>
        </w:tc>
        <w:tc>
          <w:tcPr>
            <w:tcW w:type="dxa" w:w="680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Import Linter</w:t>
            </w:r>
          </w:p>
        </w:tc>
        <w:tc>
          <w:tcPr>
            <w:tcW w:type="dxa" w:w="1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架构依赖治理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在 CI 中定义 layered/forbidden/independence contracts，约束 domain、application、ports、adapters、interface 的依赖方向。</w:t>
            </w:r>
          </w:p>
        </w:tc>
        <w:tc>
          <w:tcPr>
            <w:tcW w:type="dxa" w:w="21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它把“低耦合、禁止反向依赖”从文档约定变成可执行门禁。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仅检查 Python import；SQLite 私有表访问仍需自定义 Repository/SQL 检查器。</w:t>
            </w:r>
          </w:p>
        </w:tc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jsonschema + check-jsonschema</w:t>
            </w:r>
          </w:p>
        </w:tc>
        <w:tc>
          <w:tcPr>
            <w:tcW w:type="dxa" w:w="130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Schema/契约验证</w:t>
            </w:r>
          </w:p>
        </w:tc>
        <w:tc>
          <w:tcPr>
            <w:tcW w:type="dxa" w:w="243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验证 Canonical Model、Profile、Manifest、TaskContract、Evidence 与子进程 JSON 消息；CI 校验 schemas 及 fixtures。</w:t>
            </w:r>
          </w:p>
        </w:tc>
        <w:tc>
          <w:tcPr>
            <w:tcW w:type="dxa" w:w="215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契约可脱离 Python 实现独立版本化，便于外部 Adapter 与跨进程边界。</w:t>
            </w:r>
          </w:p>
        </w:tc>
        <w:tc>
          <w:tcPr>
            <w:tcW w:type="dxa" w:w="243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避免把过多动态引用和复杂规则堆入 Schema；领域不变量仍由 domain 代码负责。</w:t>
            </w:r>
          </w:p>
        </w:tc>
        <w:tc>
          <w:tcPr>
            <w:tcW w:type="dxa" w:w="680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P0-P1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OR-Tools CP-SAT</w:t>
            </w:r>
          </w:p>
        </w:tc>
        <w:tc>
          <w:tcPr>
            <w:tcW w:type="dxa" w:w="1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Solver 第二真实实现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封装为 CpSatSolverAdapter，与默认 Rule/BoundedEnumeration Solver 通过同一 SolverPort。</w:t>
            </w:r>
          </w:p>
        </w:tc>
        <w:tc>
          <w:tcPr>
            <w:tcW w:type="dxa" w:w="21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直接满足规划中的 Solver 真实替换证明，适合离散能力、依赖、互斥、资源与版本约束。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非整数指标需缩放；必须设置时间上限、候选上限和确定性参数。</w:t>
            </w:r>
          </w:p>
        </w:tc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P3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Prance</w:t>
            </w:r>
          </w:p>
        </w:tc>
        <w:tc>
          <w:tcPr>
            <w:tcW w:type="dxa" w:w="130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OpenAPI 静态解析</w:t>
            </w:r>
          </w:p>
        </w:tc>
        <w:tc>
          <w:tcPr>
            <w:tcW w:type="dxa" w:w="243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解析 OpenAPI 2/3 文档、处理引用，投影为 Interface、DataDefinition、ActualModel 证据。</w:t>
            </w:r>
          </w:p>
        </w:tc>
        <w:tc>
          <w:tcPr>
            <w:tcW w:type="dxa" w:w="215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减少自行递归处理 $ref、路径和 Schema 的脆弱代码。</w:t>
            </w:r>
          </w:p>
        </w:tc>
        <w:tc>
          <w:tcPr>
            <w:tcW w:type="dxa" w:w="243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解析结果仍要转换为内部模型；不能让 OpenAPI 对象成为领域实体。</w:t>
            </w:r>
          </w:p>
        </w:tc>
        <w:tc>
          <w:tcPr>
            <w:tcW w:type="dxa" w:w="680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P1/P5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junitparser</w:t>
            </w:r>
          </w:p>
        </w:tc>
        <w:tc>
          <w:tcPr>
            <w:tcW w:type="dxa" w:w="1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测试证据抽取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解析 pytest/JUnit/xUnit XML，转为 VerificationCase、Evidence、duration、status 和日志定位。</w:t>
            </w:r>
          </w:p>
        </w:tc>
        <w:tc>
          <w:tcPr>
            <w:tcW w:type="dxa" w:w="21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直接覆盖测试结果接入，降低多种 XML 方言兼容成本。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保留原始制品哈希和无法解析字段；Unknown 不得伪装为验证通过。</w:t>
            </w:r>
          </w:p>
        </w:tc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P5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Hypothesis</w:t>
            </w:r>
          </w:p>
        </w:tc>
        <w:tc>
          <w:tcPr>
            <w:tcW w:type="dxa" w:w="130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性质测试与不变量验证</w:t>
            </w:r>
          </w:p>
        </w:tc>
        <w:tc>
          <w:tcPr>
            <w:tcW w:type="dxa" w:w="243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用于 Baseline 不可变、Patch 幂等、关系一致性、事件排序、DAG 无环、序列化往返与约束表达式安全性。</w:t>
            </w:r>
          </w:p>
        </w:tc>
        <w:tc>
          <w:tcPr>
            <w:tcW w:type="dxa" w:w="215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项目有大量“对所有输入成立”的不变量，性质测试比手写少量示例更有价值。</w:t>
            </w:r>
          </w:p>
        </w:tc>
        <w:tc>
          <w:tcPr>
            <w:tcW w:type="dxa" w:w="243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只作为测试依赖；失败反例要固化为回归 fixture。</w:t>
            </w:r>
          </w:p>
        </w:tc>
        <w:tc>
          <w:tcPr>
            <w:tcW w:type="dxa" w:w="680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P0-P6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RapidFuzz</w:t>
            </w:r>
          </w:p>
        </w:tc>
        <w:tc>
          <w:tcPr>
            <w:tcW w:type="dxa" w:w="1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轻量实体对齐增强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位于 exact ID/alias、FTS5/bigram 之后，embedding 之前，为名称、接口、术语提供模糊召回。</w:t>
            </w:r>
          </w:p>
        </w:tc>
        <w:tc>
          <w:tcPr>
            <w:tcW w:type="dxa" w:w="21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安装和运行成本远低于向量模型，适合先验证传统召回上限。</w:t>
            </w:r>
          </w:p>
        </w:tc>
        <w:tc>
          <w:tcPr>
            <w:tcW w:type="dxa" w:w="243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只能作为召回特征，不直接决定 MERGE；最终决策仍需关系、来源和阈值审核。</w:t>
            </w:r>
          </w:p>
        </w:tc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P2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68"/>
      </w:tblGrid>
      <w:tr>
        <w:tc>
          <w:tcPr>
            <w:tcW w:type="dxa" w:w="4933"/>
            <w:shd w:fill="2F7D5B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EAF5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首版最小采用集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4313C"/>
                <w:sz w:val="18"/>
              </w:rPr>
              <w:t>资源非常有限时，先落地 Import Linter、jsonschema/check-jsonschema、Hypothesis、Prance 与 junitparser；到 L/P 候选阶段再加入 OR-Tools。RapidFuzz可以在实体对齐准确率不足时启用，但不需要一开始就装入 core。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3. 建议作为可选 Adapter 的组件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58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181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定位</w:t>
            </w:r>
          </w:p>
        </w:tc>
        <w:tc>
          <w:tcPr>
            <w:tcW w:type="dxa" w:w="23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进入方式</w:t>
            </w:r>
          </w:p>
        </w:tc>
        <w:tc>
          <w:tcPr>
            <w:tcW w:type="dxa" w:w="4309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审慎使用建议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Pydantic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不可信边界数据校验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ai/api/plugin extras</w:t>
            </w:r>
          </w:p>
        </w:tc>
        <w:tc>
          <w:tcPr>
            <w:tcW w:type="dxa" w:w="430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用于 LLM 结构化输出、HTTP 输入、Plugin JSON 映射；不进入 domain。</w:t>
            </w:r>
          </w:p>
        </w:tc>
      </w:tr>
      <w:tr>
        <w:trPr>
          <w:cantSplit/>
        </w:trPr>
        <w:tc>
          <w:tcPr>
            <w:tcW w:type="dxa" w:w="1587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Instructor</w:t>
            </w:r>
          </w:p>
        </w:tc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LLM 结构化 ClaimExtractor</w:t>
            </w:r>
          </w:p>
        </w:tc>
        <w:tc>
          <w:tcPr>
            <w:tcW w:type="dxa" w:w="232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ClaimExtractorPort 第二实现</w:t>
            </w:r>
          </w:p>
        </w:tc>
        <w:tc>
          <w:tcPr>
            <w:tcW w:type="dxa" w:w="4309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快速把模型响应约束为 Pydantic 结构；只保证形状，不保证工程语义。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llama.cpp server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本地 OpenAI-compatible 模型服务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LlmPort 外部进程/服务</w:t>
            </w:r>
          </w:p>
        </w:tc>
        <w:tc>
          <w:tcPr>
            <w:tcW w:type="dxa" w:w="430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适合离线、本地可控的研究环境；通过 HTTP/JSON 接入，不嵌入核心。</w:t>
            </w:r>
          </w:p>
        </w:tc>
      </w:tr>
      <w:tr>
        <w:trPr>
          <w:cantSplit/>
        </w:trPr>
        <w:tc>
          <w:tcPr>
            <w:tcW w:type="dxa" w:w="1587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Ollama</w:t>
            </w:r>
          </w:p>
        </w:tc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易安装本地模型服务</w:t>
            </w:r>
          </w:p>
        </w:tc>
        <w:tc>
          <w:tcPr>
            <w:tcW w:type="dxa" w:w="232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LlmPort 开发/演示 Profile</w:t>
            </w:r>
          </w:p>
        </w:tc>
        <w:tc>
          <w:tcPr>
            <w:tcW w:type="dxa" w:w="4309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降低本地模型启动成本；作为环境适配器，不能成为 Canonical Model 或任务系统依赖。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OpenAPI-core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请求/响应契约验证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Evidence Adapter</w:t>
            </w:r>
          </w:p>
        </w:tc>
        <w:tc>
          <w:tcPr>
            <w:tcW w:type="dxa" w:w="430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在 Prance 静态解析之外，对实际接口流量或测试样例进行 OpenAPI 校验。</w:t>
            </w:r>
          </w:p>
        </w:tc>
      </w:tr>
      <w:tr>
        <w:trPr>
          <w:cantSplit/>
        </w:trPr>
        <w:tc>
          <w:tcPr>
            <w:tcW w:type="dxa" w:w="1587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Docling</w:t>
            </w:r>
          </w:p>
        </w:tc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复杂 PDF/PPTX/表格文档解析</w:t>
            </w:r>
          </w:p>
        </w:tc>
        <w:tc>
          <w:tcPr>
            <w:tcW w:type="dxa" w:w="232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docs-advanced Plugin/subprocess</w:t>
            </w:r>
          </w:p>
        </w:tc>
        <w:tc>
          <w:tcPr>
            <w:tcW w:type="dxa" w:w="4309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适合后续高保真文档接入；能力较重，首版 DOCX/Markdown 不应依赖它。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3.1 ClaimExtractor 的推荐双实现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C8D1D8"/>
              <w:left w:sz="6" w:val="single" w:color="C8D1D8"/>
              <w:bottom w:sz="6" w:val="single" w:color="C8D1D8"/>
              <w:right w:sz="6" w:val="single" w:color="C8D1D8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5313B"/>
                <w:sz w:val="16"/>
              </w:rPr>
              <w:t>ClaimExtractorPort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├── RuleClaimExtractor             # 默认：离线、确定性、无模型依赖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└── StructuredLlmClaimExtractor    # 可选：Instructor + Pydantic + LlmPort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├── llama.cpp profile          # 本地可控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├── Ollama profile             # 开发/演示便捷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└── Other OpenAI-compatible    # 通过配置接入</w:t>
            </w:r>
          </w:p>
        </w:tc>
      </w:tr>
    </w:tbl>
    <w:p>
      <w:pPr>
        <w:spacing w:after="0"/>
        <w:widowControl/>
      </w:pPr>
    </w:p>
    <w:p>
      <w:pPr>
        <w:spacing w:after="80" w:line="283" w:lineRule="auto"/>
        <w:widowControl/>
      </w:pPr>
      <w:r>
        <w:rPr>
          <w:rFonts w:ascii="Noto Sans CJK SC" w:hAnsi="Noto Sans CJK SC" w:eastAsia="Noto Sans CJK SC"/>
          <w:color w:val="24313C"/>
          <w:sz w:val="19"/>
        </w:rPr>
        <w:t>两种实现必须输出相同的 Claim/Conflict/PatchProposal 契约，并接受同一 Contract Test。LLM 实现不得直接创建 approved ModelElement，也不得在输出非法、超时或模型不可用时写入 Baseline。</w:t>
      </w:r>
    </w:p>
    <w:p>
      <w:pPr>
        <w:pStyle w:val="Heading2"/>
        <w:keepNext/>
        <w:widowControl/>
      </w:pPr>
      <w:r>
        <w:t>3.2 文档解析的分层策略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36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89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默认实现</w:t>
            </w:r>
          </w:p>
        </w:tc>
        <w:tc>
          <w:tcPr>
            <w:tcW w:type="dxa" w:w="232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增强实现</w:t>
            </w:r>
          </w:p>
        </w:tc>
        <w:tc>
          <w:tcPr>
            <w:tcW w:type="dxa" w:w="345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启用条件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core</w:t>
            </w:r>
          </w:p>
        </w:tc>
        <w:tc>
          <w:tcPr>
            <w:tcW w:type="dxa" w:w="28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JSON、Python ast、OpenAPI JSON、测试 XML 的确定性接入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无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所有环境必须可用</w:t>
            </w:r>
          </w:p>
        </w:tc>
      </w:tr>
      <w:tr>
        <w:trPr>
          <w:cantSplit/>
        </w:trPr>
        <w:tc>
          <w:tcPr>
            <w:tcW w:type="dxa" w:w="13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docs</w:t>
            </w:r>
          </w:p>
        </w:tc>
        <w:tc>
          <w:tcPr>
            <w:tcW w:type="dxa" w:w="289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python-docx + markdown-it-py</w:t>
            </w:r>
          </w:p>
        </w:tc>
        <w:tc>
          <w:tcPr>
            <w:tcW w:type="dxa" w:w="232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无</w:t>
            </w:r>
          </w:p>
        </w:tc>
        <w:tc>
          <w:tcPr>
            <w:tcW w:type="dxa" w:w="345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需要 DOCX/Markdown 结构保真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docs-advanced</w:t>
            </w:r>
          </w:p>
        </w:tc>
        <w:tc>
          <w:tcPr>
            <w:tcW w:type="dxa" w:w="289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无</w:t>
            </w:r>
          </w:p>
        </w:tc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Docling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出现 PDF/PPTX、复杂表格或布局语义需求，并证明简单解析不足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4. 研究增强与后移组件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192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潜在用途</w:t>
            </w:r>
          </w:p>
        </w:tc>
        <w:tc>
          <w:tcPr>
            <w:tcW w:type="dxa" w:w="351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后移原因</w:t>
            </w:r>
          </w:p>
        </w:tc>
        <w:tc>
          <w:tcPr>
            <w:tcW w:type="dxa" w:w="2665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触发条件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SimPy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离散事件仿真第二实现/对照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V1 自研受限事件语义需要绑定 RFLP 元素、固定排序和 Evidence；直接替换主引擎可能增加适配工作。</w:t>
            </w:r>
          </w:p>
        </w:tc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仿真算法研究、对照实验或复杂资源过程确有需要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NetworkX</w:t>
            </w:r>
          </w:p>
        </w:tc>
        <w:tc>
          <w:tcPr>
            <w:tcW w:type="dxa" w:w="192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耦合图与图算法实验</w:t>
            </w:r>
          </w:p>
        </w:tc>
        <w:tc>
          <w:tcPr>
            <w:tcW w:type="dxa" w:w="351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标准库 graphlib + SQLite CTE 已覆盖首版主链；引入后容易让内部图对象泄漏。</w:t>
            </w:r>
          </w:p>
        </w:tc>
        <w:tc>
          <w:tcPr>
            <w:tcW w:type="dxa" w:w="266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候选生成算法或影响分析进入研究阶段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sentence-transformers / CrossEncoder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语义召回与重排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依赖模型、PyTorch 和额外标注评估，违背轻量首版原则。</w:t>
            </w:r>
          </w:p>
        </w:tc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FTS5/bigram/RapidFuzz 在标注集上证明确实不足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MLflow</w:t>
            </w:r>
          </w:p>
        </w:tc>
        <w:tc>
          <w:tcPr>
            <w:tcW w:type="dxa" w:w="192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A/B/C 实验追踪</w:t>
            </w:r>
          </w:p>
        </w:tc>
        <w:tc>
          <w:tcPr>
            <w:tcW w:type="dxa" w:w="351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不能成为 Baseline、Evidence 或配置的事务真源；会增加实验栈复杂度。</w:t>
            </w:r>
          </w:p>
        </w:tc>
        <w:tc>
          <w:tcPr>
            <w:tcW w:type="dxa" w:w="266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重复实验增多且 run manifest 管理成本显著上升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SysML v2 官方 Release/Pilot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映射基准与兼容测试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首版仅承诺确定性文本投影和 mapping report，不建设在线仓库。</w:t>
            </w:r>
          </w:p>
        </w:tc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需要验证导出兼容性、样例或后续 API 对接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Eclipse SysON</w:t>
            </w:r>
          </w:p>
        </w:tc>
        <w:tc>
          <w:tcPr>
            <w:tcW w:type="dxa" w:w="192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外部图形化建模/审核</w:t>
            </w:r>
          </w:p>
        </w:tc>
        <w:tc>
          <w:tcPr>
            <w:tcW w:type="dxa" w:w="351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属于完整 Web SysML 工具，明显超出静态 HTML + 可选 API 的首版范围。</w:t>
            </w:r>
          </w:p>
        </w:tc>
        <w:tc>
          <w:tcPr>
            <w:tcW w:type="dxa" w:w="2665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多人图形化协作成为明确验收项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Pluggy</w:t>
            </w:r>
          </w:p>
        </w:tc>
        <w:tc>
          <w:tcPr>
            <w:tcW w:type="dxa" w:w="19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插件 Hook 注册与调用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不负责超时、进程隔离、权限、Schema 与 Baseline 保护；首版 Hook 数量有限。</w:t>
            </w:r>
          </w:p>
        </w:tc>
        <w:tc>
          <w:tcPr>
            <w:tcW w:type="dxa" w:w="266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5"/>
              </w:rPr>
              <w:t>第三方插件独立发布且 Hook 数量明显增加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68"/>
      </w:tblGrid>
      <w:tr>
        <w:tc>
          <w:tcPr>
            <w:tcW w:type="dxa" w:w="4933"/>
            <w:shd w:fill="A96221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FAF0E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避免误用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4313C"/>
                <w:sz w:val="18"/>
              </w:rPr>
              <w:t>不要因为某个项目“成熟”就把它放进主链。成熟的通用框架不一定适合当前边界：例如 SysON 很适合完整图形化 SysML 协作，却不适合作为 14 周研究原型的内部 UI；MLflow 很适合实验追踪，却不能替代项目自己的 Baseline、Evidence 与审计模型。</w:t>
            </w:r>
          </w:p>
        </w:tc>
      </w:tr>
    </w:tbl>
    <w:p>
      <w:pPr>
        <w:spacing w:after="0"/>
        <w:widowControl/>
      </w:pPr>
    </w:p>
    <w:p>
      <w:pPr>
        <w:pStyle w:val="Heading1"/>
        <w:keepNext/>
        <w:widowControl/>
      </w:pPr>
      <w:r>
        <w:t>5. 推荐集成架构</w:t>
      </w:r>
    </w:p>
    <w:p>
      <w:pPr>
        <w:pStyle w:val="Heading2"/>
        <w:keepNext/>
        <w:widowControl/>
      </w:pPr>
      <w:r>
        <w:t>5.1 组件在分层架构中的位置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B6F9C"/>
                <w:sz w:val="16"/>
              </w:rPr>
              <w:t>INTERFACE</w:t>
            </w:r>
          </w:p>
        </w:tc>
        <w:tc>
          <w:tcPr>
            <w:tcW w:type="dxa" w:w="4252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CLI / Static Report / Optional API</w:t>
            </w:r>
          </w:p>
        </w:tc>
        <w:tc>
          <w:tcPr>
            <w:tcW w:type="dxa" w:w="3969"/>
            <w:shd w:fill="EAF3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Pydantic（API 边界，可选）</w:t>
            </w:r>
          </w:p>
        </w:tc>
      </w:tr>
      <w:tr>
        <w:trPr>
          <w:cantSplit/>
        </w:trPr>
        <w:tc>
          <w:tcPr>
            <w:tcW w:type="dxa" w:w="1701"/>
            <w:shd w:fill="EE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APPLICATION</w:t>
            </w:r>
          </w:p>
        </w:tc>
        <w:tc>
          <w:tcPr>
            <w:tcW w:type="dxa" w:w="4252"/>
            <w:shd w:fill="EE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Ingest / Compile / Candidate / Simulate / Diff / Task</w:t>
            </w:r>
          </w:p>
        </w:tc>
        <w:tc>
          <w:tcPr>
            <w:tcW w:type="dxa" w:w="3969"/>
            <w:shd w:fill="EE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只依赖内部 Port，不直接调用开源供应商 API</w:t>
            </w:r>
          </w:p>
        </w:tc>
      </w:tr>
      <w:tr>
        <w:trPr>
          <w:cantSplit/>
        </w:trPr>
        <w:tc>
          <w:tcPr>
            <w:tcW w:type="dxa" w:w="1701"/>
            <w:shd w:fill="F7F1E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C69A3B"/>
                <w:sz w:val="16"/>
              </w:rPr>
              <w:t>DOMAIN KERNEL</w:t>
            </w:r>
          </w:p>
        </w:tc>
        <w:tc>
          <w:tcPr>
            <w:tcW w:type="dxa" w:w="4252"/>
            <w:shd w:fill="F7F1E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Artifact / Claim / RFLP / Baseline / Evidence</w:t>
            </w:r>
          </w:p>
        </w:tc>
        <w:tc>
          <w:tcPr>
            <w:tcW w:type="dxa" w:w="3969"/>
            <w:shd w:fill="F7F1E3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保持标准库与领域规则；无第三方框架</w:t>
            </w:r>
          </w:p>
        </w:tc>
      </w:tr>
      <w:tr>
        <w:trPr>
          <w:cantSplit/>
        </w:trPr>
        <w:tc>
          <w:tcPr>
            <w:tcW w:type="dxa" w:w="1701"/>
            <w:shd w:fill="EE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7324D"/>
                <w:sz w:val="16"/>
              </w:rPr>
              <w:t>PORTS</w:t>
            </w:r>
          </w:p>
        </w:tc>
        <w:tc>
          <w:tcPr>
            <w:tcW w:type="dxa" w:w="4252"/>
            <w:shd w:fill="EE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ClaimExtractor / Solver / Analyzer / Store / Exporter</w:t>
            </w:r>
          </w:p>
        </w:tc>
        <w:tc>
          <w:tcPr>
            <w:tcW w:type="dxa" w:w="3969"/>
            <w:shd w:fill="EEF3F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稳定输入输出、错误、超时、确定性与副作用契约</w:t>
            </w:r>
          </w:p>
        </w:tc>
      </w:tr>
      <w:tr>
        <w:trPr>
          <w:cantSplit/>
        </w:trPr>
        <w:tc>
          <w:tcPr>
            <w:tcW w:type="dxa" w:w="1701"/>
            <w:shd w:fill="EAF5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7D5B"/>
                <w:sz w:val="16"/>
              </w:rPr>
              <w:t>ADAPTERS</w:t>
            </w:r>
          </w:p>
        </w:tc>
        <w:tc>
          <w:tcPr>
            <w:tcW w:type="dxa" w:w="4252"/>
            <w:shd w:fill="EAF5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Prance / junitparser / OR-Tools / RapidFuzz / LLM Clients</w:t>
            </w:r>
          </w:p>
        </w:tc>
        <w:tc>
          <w:tcPr>
            <w:tcW w:type="dxa" w:w="3969"/>
            <w:shd w:fill="EAF5E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延迟导入、Profile 选择、契约测试</w:t>
            </w:r>
          </w:p>
        </w:tc>
      </w:tr>
      <w:tr>
        <w:trPr>
          <w:cantSplit/>
        </w:trPr>
        <w:tc>
          <w:tcPr>
            <w:tcW w:type="dxa" w:w="1701"/>
            <w:shd w:fill="F9EC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9A3E3E"/>
                <w:sz w:val="16"/>
              </w:rPr>
              <w:t>GOVERNANCE &amp; TEST</w:t>
            </w:r>
          </w:p>
        </w:tc>
        <w:tc>
          <w:tcPr>
            <w:tcW w:type="dxa" w:w="4252"/>
            <w:shd w:fill="F9EC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Import Linter / jsonschema / Hypothesis / custom SQL ownership check</w:t>
            </w:r>
          </w:p>
        </w:tc>
        <w:tc>
          <w:tcPr>
            <w:tcW w:type="dxa" w:w="3969"/>
            <w:shd w:fill="F9ECE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16"/>
              </w:rPr>
              <w:t>作为 CI 发布门禁与架构证据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5.2 Plugin 运行策略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C8D1D8"/>
              <w:left w:sz="6" w:val="single" w:color="C8D1D8"/>
              <w:bottom w:sz="6" w:val="single" w:color="C8D1D8"/>
              <w:right w:sz="6" w:val="single" w:color="C8D1D8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5313B"/>
                <w:sz w:val="16"/>
              </w:rPr>
              <w:t>内置稳定能力（Adapter）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importlib.metadata entry_points（仅用于发现）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+ Port Protocol/ABC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+ Profile 选择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高风险/独立能力（Plugin）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subprocess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+ 单请求 JSON 协议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+ JSON Schema 校验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+ timeout / failure_policy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+ PluginRunEvidence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后续规模扩大后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可用 Pluggy 替代“Hook 注册与分发”部分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 xml:space="preserve">    但隔离、权限、审计和 Baseline 保护仍由本项目负责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5.3 推荐依赖分组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5F7F9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sz="6" w:val="single" w:color="C8D1D8"/>
              <w:left w:sz="6" w:val="single" w:color="C8D1D8"/>
              <w:bottom w:sz="6" w:val="single" w:color="C8D1D8"/>
              <w:right w:sz="6" w:val="single" w:color="C8D1D8"/>
            </w:tcBorders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5313B"/>
                <w:sz w:val="16"/>
              </w:rPr>
              <w:t>[project.optional-dependencies]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dev = ["import-linter", "hypothesis", "check-jsonschema"]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ai = ["pydantic", "httpx", "instructor"]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docs = ["python-docx", "markdown-it-py"]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docs-advanced = ["docling"]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opt = ["ortools"]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evidence = ["prance", "junitparser", "openapi-core"]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analysis = ["rapidfuzz", "networkx"]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ml = ["sentence-transformers"]</w:t>
            </w:r>
            <w:r>
              <w:br/>
            </w:r>
            <w:r>
              <w:rPr>
                <w:rFonts w:ascii="DejaVu Sans Mono" w:hAnsi="DejaVu Sans Mono" w:eastAsia="DejaVu Sans Mono"/>
                <w:color w:val="25313B"/>
                <w:sz w:val="16"/>
              </w:rPr>
              <w:t>experiment = ["mlflow"]</w:t>
            </w:r>
          </w:p>
        </w:tc>
      </w:tr>
    </w:tbl>
    <w:p>
      <w:pPr>
        <w:spacing w:after="0"/>
        <w:widowControl/>
      </w:pPr>
    </w:p>
    <w:p>
      <w:pPr>
        <w:spacing w:after="80" w:line="283" w:lineRule="auto"/>
        <w:widowControl/>
      </w:pPr>
      <w:r>
        <w:rPr>
          <w:rFonts w:ascii="Noto Sans CJK SC" w:hAnsi="Noto Sans CJK SC" w:eastAsia="Noto Sans CJK SC"/>
          <w:color w:val="24313C"/>
          <w:sz w:val="19"/>
        </w:rPr>
        <w:t>注意：RapidFuzz 虽然较轻，但仍建议放入 analysis extra，以维持“core 仅标准库”的清晰承诺。Prance 和 junitparser可进入 evidence extra；如果首版演示必须包含 OpenAPI/JUnit 证据，可在 research profile 中默认安装，而不是提升为 core 硬依赖。</w:t>
      </w:r>
    </w:p>
    <w:p>
      <w:pPr>
        <w:pStyle w:val="Heading1"/>
        <w:keepNext/>
        <w:widowControl/>
      </w:pPr>
      <w:r>
        <w:t>6. 与 14 周计划的落地映射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1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81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主任务</w:t>
            </w:r>
          </w:p>
        </w:tc>
        <w:tc>
          <w:tcPr>
            <w:tcW w:type="dxa" w:w="3061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组件落地</w:t>
            </w:r>
          </w:p>
        </w:tc>
        <w:tc>
          <w:tcPr>
            <w:tcW w:type="dxa" w:w="379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阶段性产物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P0 / 第1周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架构与范围</w:t>
            </w:r>
          </w:p>
        </w:tc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Import Linter；jsonschema/check-jsonschema；Hypothesis 基础策略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依赖白名单、Schema/Profile v0、架构门禁与核心不变量测试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P1 / 第2-3周</w:t>
            </w:r>
          </w:p>
        </w:tc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数据与治理脊柱</w:t>
            </w:r>
          </w:p>
        </w:tc>
        <w:tc>
          <w:tcPr>
            <w:tcW w:type="dxa" w:w="30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Prance、junitparser（接口与测试制品接入）；自定义 Repository 所有权检查</w:t>
            </w:r>
          </w:p>
        </w:tc>
        <w:tc>
          <w:tcPr>
            <w:tcW w:type="dxa" w:w="379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Artifact/TextSpan/Claim/Baseline/Evidence 数据脊柱可运行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P2 / 第4-5周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语义编译与 R/F</w:t>
            </w:r>
          </w:p>
        </w:tc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RapidFuzz；Pydantic + Instructor（可选第二 ClaimExtractor）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规则实现与 LLM 实现通过同一契约测试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P3 / 第6-7周</w:t>
            </w:r>
          </w:p>
        </w:tc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L/P 候选与决策</w:t>
            </w:r>
          </w:p>
        </w:tc>
        <w:tc>
          <w:tcPr>
            <w:tcW w:type="dxa" w:w="30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OR-Tools CP-SAT</w:t>
            </w:r>
          </w:p>
        </w:tc>
        <w:tc>
          <w:tcPr>
            <w:tcW w:type="dxa" w:w="379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Heuristic 与 CP-SAT 同契约替换，候选和淘汰原因可追溯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P4 / 第8-9周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仿真与故障</w:t>
            </w:r>
          </w:p>
        </w:tc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Hypothesis 深化；SimPy仅作研究对照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事件顺序、断言、不变量、故障注入和 Baseline 完整性门禁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P5 / 第10-11周</w:t>
            </w:r>
          </w:p>
        </w:tc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实际模型与任务</w:t>
            </w:r>
          </w:p>
        </w:tc>
        <w:tc>
          <w:tcPr>
            <w:tcW w:type="dxa" w:w="3061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Prance + junitparser + OpenAPI-core（可选）</w:t>
            </w:r>
          </w:p>
        </w:tc>
        <w:tc>
          <w:tcPr>
            <w:tcW w:type="dxa" w:w="379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OpenAPI/测试 Evidence、Delta、TaskContract 与 DAG 闭环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P6 / 第12-14周</w:t>
            </w:r>
          </w:p>
        </w:tc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集成与实验</w:t>
            </w:r>
          </w:p>
        </w:tc>
        <w:tc>
          <w:tcPr>
            <w:tcW w:type="dxa" w:w="306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MLflow仅在 run 数量需要时启用；SysML v2 官方样例作映射测试</w:t>
            </w:r>
          </w:p>
        </w:tc>
        <w:tc>
          <w:tcPr>
            <w:tcW w:type="dxa" w:w="379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干净安装、两条替换证明链、A/B/C 小规模数据冻结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6.1 推荐的实施顺序</w:t>
      </w:r>
    </w:p>
    <w:p>
      <w:pPr>
        <w:pStyle w:val="ListNumber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先做架构门禁与 Schema：Import Linter、JSON Schema、Hypothesis应先于 LLM、求解器和 UI。</w:t>
      </w:r>
    </w:p>
    <w:p>
      <w:pPr>
        <w:pStyle w:val="ListNumber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再做确定性证据接入：Prance、junitparser解决 OpenAPI 与测试结果的通用解析问题。</w:t>
      </w:r>
    </w:p>
    <w:p>
      <w:pPr>
        <w:pStyle w:val="ListNumber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然后证明两个变化轴：ClaimExtractor 用规则/结构化 LLM 双实现，Solver 用规则/CP-SAT 双实现。</w:t>
      </w:r>
    </w:p>
    <w:p>
      <w:pPr>
        <w:pStyle w:val="ListNumber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最后按数据启用增强：RapidFuzz、Docling、向量模型、MLflow、SysON等只在真实指标显示需求时加入。</w:t>
      </w:r>
    </w:p>
    <w:p>
      <w:pPr>
        <w:pStyle w:val="Heading1"/>
        <w:keepNext/>
        <w:widowControl/>
      </w:pPr>
      <w:r>
        <w:t>7. 风险、治理与验收门禁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40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早期信号</w:t>
            </w:r>
          </w:p>
        </w:tc>
        <w:tc>
          <w:tcPr>
            <w:tcW w:type="dxa" w:w="476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门禁/缓解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依赖反向渗透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Adapter 类型或供应商字段进入 domain/application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Import Linter + code review；内部 DTO 与供应商对象隔离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共享数据库耦合</w:t>
            </w:r>
          </w:p>
        </w:tc>
        <w:tc>
          <w:tcPr>
            <w:tcW w:type="dxa" w:w="3402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模块直接访问其他模块私有表</w:t>
            </w:r>
          </w:p>
        </w:tc>
        <w:tc>
          <w:tcPr>
            <w:tcW w:type="dxa" w:w="4762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Repository 所有权清单 + SQL 静态扫描 + integration test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LLM 输出被当作事实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结构化输出直接批准或覆盖 Baseline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只生成 Claim/PatchProposal；Schema + 不变量 + 人工批准点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求解器不可复现</w:t>
            </w:r>
          </w:p>
        </w:tc>
        <w:tc>
          <w:tcPr>
            <w:tcW w:type="dxa" w:w="3402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候选顺序、时间和随机行为不稳定</w:t>
            </w:r>
          </w:p>
        </w:tc>
        <w:tc>
          <w:tcPr>
            <w:tcW w:type="dxa" w:w="4762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固定参数、候选上限、时间上限、canonical 输出与哈希比较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重型解析拖垮安装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core 隐式导入 Docling/torch 等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extras + 延迟导入 + capability probe + subprocess</w:t>
            </w:r>
          </w:p>
        </w:tc>
      </w:tr>
      <w:tr>
        <w:trPr>
          <w:cantSplit/>
        </w:trPr>
        <w:tc>
          <w:tcPr>
            <w:tcW w:type="dxa" w:w="1814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测试工具成为业务依赖</w:t>
            </w:r>
          </w:p>
        </w:tc>
        <w:tc>
          <w:tcPr>
            <w:tcW w:type="dxa" w:w="3402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Hypothesis/MLflow 在运行时被 import</w:t>
            </w:r>
          </w:p>
        </w:tc>
        <w:tc>
          <w:tcPr>
            <w:tcW w:type="dxa" w:w="4762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dev/experiment 依赖隔离；core-only 安装 CI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开源项目升级破坏接口</w:t>
            </w:r>
          </w:p>
        </w:tc>
        <w:tc>
          <w:tcPr>
            <w:tcW w:type="dxa" w:w="34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上游 API 变化导致多模块修改</w:t>
            </w:r>
          </w:p>
        </w:tc>
        <w:tc>
          <w:tcPr>
            <w:tcW w:type="dxa" w:w="476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Adapter 封装、依赖锁定、契约测试、版本化 Profile/Manifest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7.1 组件验收标准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缺少该组件时，仅对应可选能力不可用，core demo 仍可运行。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组件输入输出经过内部 Schema/DTO 转换，不在领域模型中保存供应商对象。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同一输入、Profile、版本和 seed 下，结果可复现或明确标记非确定性。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超时、崩溃、非法输出后 Baseline 哈希保持不变，并产生可审计运行记录。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真实实现与 Fake/默认实现通过同一端口契约测试。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组件版本、配置、许可证与依赖锁写入 run manifest 或发布清单。</w:t>
      </w:r>
    </w:p>
    <w:p>
      <w:pPr>
        <w:pStyle w:val="Heading1"/>
        <w:keepNext/>
        <w:widowControl/>
      </w:pPr>
      <w:r>
        <w:t>8. 最终选型结论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决策</w:t>
            </w:r>
          </w:p>
        </w:tc>
        <w:tc>
          <w:tcPr>
            <w:tcW w:type="dxa" w:w="3458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组件</w:t>
            </w:r>
          </w:p>
        </w:tc>
        <w:tc>
          <w:tcPr>
            <w:tcW w:type="dxa" w:w="5102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立即纳入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Import Linter、jsonschema/check-jsonschema、Hypothesis</w:t>
            </w:r>
          </w:p>
        </w:tc>
        <w:tc>
          <w:tcPr>
            <w:tcW w:type="dxa" w:w="51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先建立架构、契约与不变量门禁，投入小、返工预防价值最高。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V1 按模块纳入</w:t>
            </w:r>
          </w:p>
        </w:tc>
        <w:tc>
          <w:tcPr>
            <w:tcW w:type="dxa" w:w="345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Prance、junitparser、OR-Tools</w:t>
            </w:r>
          </w:p>
        </w:tc>
        <w:tc>
          <w:tcPr>
            <w:tcW w:type="dxa" w:w="5102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分别用于接口/证据解析与 Solver 第二实现，能直接支撑核心闭环和替换证明。</w:t>
            </w:r>
          </w:p>
        </w:tc>
      </w:tr>
      <w:tr>
        <w:trPr>
          <w:cantSplit/>
        </w:trPr>
        <w:tc>
          <w:tcPr>
            <w:tcW w:type="dxa" w:w="141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条件纳入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RapidFuzz、Pydantic、Instructor、llama.cpp/Ollama、OpenAPI-core、Docling</w:t>
            </w:r>
          </w:p>
        </w:tc>
        <w:tc>
          <w:tcPr>
            <w:tcW w:type="dxa" w:w="510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通过 extras 和 Port 接入；由实体对齐、LLM、运行证据或复杂文档的实际需求触发。</w:t>
            </w:r>
          </w:p>
        </w:tc>
      </w:tr>
      <w:tr>
        <w:trPr>
          <w:cantSplit/>
        </w:trPr>
        <w:tc>
          <w:tcPr>
            <w:tcW w:type="dxa" w:w="1417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后移</w:t>
            </w:r>
          </w:p>
        </w:tc>
        <w:tc>
          <w:tcPr>
            <w:tcW w:type="dxa" w:w="3458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SimPy、NetworkX、sentence-transformers、MLflow、SysON、Pluggy</w:t>
            </w:r>
          </w:p>
        </w:tc>
        <w:tc>
          <w:tcPr>
            <w:tcW w:type="dxa" w:w="5102"/>
            <w:shd w:fill="F3F5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sz="4" w:val="single" w:color="C8D1D8"/>
              <w:left w:sz="4" w:val="single" w:color="C8D1D8"/>
              <w:bottom w:sz="4" w:val="single" w:color="C8D1D8"/>
              <w:right w:sz="4" w:val="single" w:color="C8D1D8"/>
            </w:tcBorders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24313C"/>
                <w:sz w:val="16"/>
              </w:rPr>
              <w:t>保留接口和研究路径，但不作为 14 周首版前置。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468"/>
      </w:tblGrid>
      <w:tr>
        <w:tc>
          <w:tcPr>
            <w:tcW w:type="dxa" w:w="4933"/>
            <w:shd w:fill="2B6F9C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933"/>
            <w:shd w:fill="EAF3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24D"/>
                <w:sz w:val="20"/>
              </w:rPr>
              <w:t>推荐的最小技术组合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color w:val="24313C"/>
                <w:sz w:val="18"/>
              </w:rPr>
              <w:t>core：标准库 + SQLite/JSON；dev：Import Linter + Hypothesis + check-jsonschema；evidence：Prance + junitparser；opt：OR-Tools；ai：Pydantic + Instructor + httpx；本地模型运行时优先独立部署 llama.cpp 或 Ollama。该组合既能复用成熟能力，也能维持原规划的轻量、低耦合、可替换与故障隔离要求。</w:t>
            </w:r>
          </w:p>
        </w:tc>
      </w:tr>
    </w:tbl>
    <w:p>
      <w:pPr>
        <w:spacing w:after="0"/>
        <w:widowControl/>
      </w:pPr>
    </w:p>
    <w:p>
      <w:pPr>
        <w:pStyle w:val="Heading2"/>
        <w:keepNext/>
        <w:widowControl/>
      </w:pPr>
      <w:r>
        <w:t>8.1 不建议做的事情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不把 Docling、sentence-transformers、MLflow 或 SysON 安装进 core。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不直接用 Pydantic Model、OpenAPI 对象、NetworkX Graph 作为 Canonical RFLP Model。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不因为使用 Pluggy 就宣称已完成插件隔离与权限治理。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不让 Instructor 或 JSON Schema 的“结构正确”替代工程语义审核。</w:t>
      </w:r>
    </w:p>
    <w:p>
      <w:pPr>
        <w:pStyle w:val="ListBullet"/>
        <w:spacing w:after="40" w:line="269" w:lineRule="auto"/>
        <w:widowControl/>
      </w:pPr>
      <w:r>
        <w:rPr>
          <w:rFonts w:ascii="Noto Sans CJK SC" w:hAnsi="Noto Sans CJK SC" w:eastAsia="Noto Sans CJK SC"/>
          <w:color w:val="24313C"/>
          <w:sz w:val="18"/>
        </w:rPr>
        <w:t>不把 SimPy 或 CP-SAT 的输出直接批准为 Baseline；它们只能形成 Candidate、Decision 或 Evidence。</w:t>
      </w:r>
    </w:p>
    <w:p>
      <w:pPr>
        <w:pStyle w:val="Heading1"/>
        <w:keepNext/>
        <w:widowControl/>
      </w:pPr>
      <w:r>
        <w:t>参考资料</w:t>
      </w:r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[A] </w:t>
      </w:r>
      <w:r>
        <w:rPr>
          <w:rFonts w:ascii="Noto Sans CJK SC" w:hAnsi="Noto Sans CJK SC" w:eastAsia="Noto Sans CJK SC"/>
          <w:color w:val="24313C"/>
          <w:sz w:val="15"/>
        </w:rPr>
        <w:t>《面向 AI Agent 软件开发的 RFLP 轻量化项目执行规划（审慎优化版）v1.1》，重点参考第 7-10、13-18、20-26 页。</w:t>
      </w:r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[1] </w:t>
      </w:r>
      <w:r>
        <w:rPr>
          <w:rFonts w:ascii="Noto Sans CJK SC" w:hAnsi="Noto Sans CJK SC" w:eastAsia="Noto Sans CJK SC"/>
          <w:color w:val="24313C"/>
          <w:sz w:val="15"/>
        </w:rPr>
        <w:t>Import Linter documentation</w:t>
      </w:r>
      <w:r>
        <w:t xml:space="preserve">  </w:t>
      </w:r>
      <w:hyperlink r:id="rId11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[2] </w:t>
      </w:r>
      <w:r>
        <w:rPr>
          <w:rFonts w:ascii="Noto Sans CJK SC" w:hAnsi="Noto Sans CJK SC" w:eastAsia="Noto Sans CJK SC"/>
          <w:color w:val="24313C"/>
          <w:sz w:val="15"/>
        </w:rPr>
        <w:t>jsonschema documentation</w:t>
      </w:r>
      <w:r>
        <w:t xml:space="preserve">  </w:t>
      </w:r>
      <w:hyperlink r:id="rId12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[3] </w:t>
      </w:r>
      <w:r>
        <w:rPr>
          <w:rFonts w:ascii="Noto Sans CJK SC" w:hAnsi="Noto Sans CJK SC" w:eastAsia="Noto Sans CJK SC"/>
          <w:color w:val="24313C"/>
          <w:sz w:val="15"/>
        </w:rPr>
        <w:t>JSON Schema documentation</w:t>
      </w:r>
      <w:r>
        <w:t xml:space="preserve">  </w:t>
      </w:r>
      <w:hyperlink r:id="rId13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[4] </w:t>
      </w:r>
      <w:r>
        <w:rPr>
          <w:rFonts w:ascii="Noto Sans CJK SC" w:hAnsi="Noto Sans CJK SC" w:eastAsia="Noto Sans CJK SC"/>
          <w:color w:val="24313C"/>
          <w:sz w:val="15"/>
        </w:rPr>
        <w:t>Google OR-Tools: CP-SAT Solver</w:t>
      </w:r>
      <w:r>
        <w:t xml:space="preserve">  </w:t>
      </w:r>
      <w:hyperlink r:id="rId14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[5] </w:t>
      </w:r>
      <w:r>
        <w:rPr>
          <w:rFonts w:ascii="Noto Sans CJK SC" w:hAnsi="Noto Sans CJK SC" w:eastAsia="Noto Sans CJK SC"/>
          <w:color w:val="24313C"/>
          <w:sz w:val="15"/>
        </w:rPr>
        <w:t>Prance documentation</w:t>
      </w:r>
      <w:r>
        <w:t xml:space="preserve">  </w:t>
      </w:r>
      <w:hyperlink r:id="rId15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[6] </w:t>
      </w:r>
      <w:r>
        <w:rPr>
          <w:rFonts w:ascii="Noto Sans CJK SC" w:hAnsi="Noto Sans CJK SC" w:eastAsia="Noto Sans CJK SC"/>
          <w:color w:val="24313C"/>
          <w:sz w:val="15"/>
        </w:rPr>
        <w:t>junitparser project</w:t>
      </w:r>
      <w:r>
        <w:t xml:space="preserve">  </w:t>
      </w:r>
      <w:hyperlink r:id="rId16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[7] </w:t>
      </w:r>
      <w:r>
        <w:rPr>
          <w:rFonts w:ascii="Noto Sans CJK SC" w:hAnsi="Noto Sans CJK SC" w:eastAsia="Noto Sans CJK SC"/>
          <w:color w:val="24313C"/>
          <w:sz w:val="15"/>
        </w:rPr>
        <w:t>Hypothesis documentation</w:t>
      </w:r>
      <w:r>
        <w:t xml:space="preserve">  </w:t>
      </w:r>
      <w:hyperlink r:id="rId17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[8] </w:t>
      </w:r>
      <w:r>
        <w:rPr>
          <w:rFonts w:ascii="Noto Sans CJK SC" w:hAnsi="Noto Sans CJK SC" w:eastAsia="Noto Sans CJK SC"/>
          <w:color w:val="24313C"/>
          <w:sz w:val="15"/>
        </w:rPr>
        <w:t>Instructor project and documentation</w:t>
      </w:r>
      <w:r>
        <w:t xml:space="preserve">  </w:t>
      </w:r>
      <w:hyperlink r:id="rId18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[9] </w:t>
      </w:r>
      <w:r>
        <w:rPr>
          <w:rFonts w:ascii="Noto Sans CJK SC" w:hAnsi="Noto Sans CJK SC" w:eastAsia="Noto Sans CJK SC"/>
          <w:color w:val="24313C"/>
          <w:sz w:val="15"/>
        </w:rPr>
        <w:t>llama.cpp server documentation</w:t>
      </w:r>
      <w:r>
        <w:t xml:space="preserve">  </w:t>
      </w:r>
      <w:hyperlink r:id="rId19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[10] </w:t>
      </w:r>
      <w:r>
        <w:rPr>
          <w:rFonts w:ascii="Noto Sans CJK SC" w:hAnsi="Noto Sans CJK SC" w:eastAsia="Noto Sans CJK SC"/>
          <w:color w:val="24313C"/>
          <w:sz w:val="15"/>
        </w:rPr>
        <w:t>Ollama OpenAI compatibility</w:t>
      </w:r>
      <w:r>
        <w:t xml:space="preserve">  </w:t>
      </w:r>
      <w:hyperlink r:id="rId20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[11] </w:t>
      </w:r>
      <w:r>
        <w:rPr>
          <w:rFonts w:ascii="Noto Sans CJK SC" w:hAnsi="Noto Sans CJK SC" w:eastAsia="Noto Sans CJK SC"/>
          <w:color w:val="24313C"/>
          <w:sz w:val="15"/>
        </w:rPr>
        <w:t>RapidFuzz documentation</w:t>
      </w:r>
      <w:r>
        <w:t xml:space="preserve">  </w:t>
      </w:r>
      <w:hyperlink r:id="rId21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[12] </w:t>
      </w:r>
      <w:r>
        <w:rPr>
          <w:rFonts w:ascii="Noto Sans CJK SC" w:hAnsi="Noto Sans CJK SC" w:eastAsia="Noto Sans CJK SC"/>
          <w:color w:val="24313C"/>
          <w:sz w:val="15"/>
        </w:rPr>
        <w:t>OpenAPI-core validation documentation</w:t>
      </w:r>
      <w:r>
        <w:t xml:space="preserve">  </w:t>
      </w:r>
      <w:hyperlink r:id="rId22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[13] </w:t>
      </w:r>
      <w:r>
        <w:rPr>
          <w:rFonts w:ascii="Noto Sans CJK SC" w:hAnsi="Noto Sans CJK SC" w:eastAsia="Noto Sans CJK SC"/>
          <w:color w:val="24313C"/>
          <w:sz w:val="15"/>
        </w:rPr>
        <w:t>Docling project</w:t>
      </w:r>
      <w:r>
        <w:t xml:space="preserve">  </w:t>
      </w:r>
      <w:hyperlink r:id="rId23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[14] </w:t>
      </w:r>
      <w:r>
        <w:rPr>
          <w:rFonts w:ascii="Noto Sans CJK SC" w:hAnsi="Noto Sans CJK SC" w:eastAsia="Noto Sans CJK SC"/>
          <w:color w:val="24313C"/>
          <w:sz w:val="15"/>
        </w:rPr>
        <w:t>SimPy documentation</w:t>
      </w:r>
      <w:r>
        <w:t xml:space="preserve">  </w:t>
      </w:r>
      <w:hyperlink r:id="rId24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[15] </w:t>
      </w:r>
      <w:r>
        <w:rPr>
          <w:rFonts w:ascii="Noto Sans CJK SC" w:hAnsi="Noto Sans CJK SC" w:eastAsia="Noto Sans CJK SC"/>
          <w:color w:val="24313C"/>
          <w:sz w:val="15"/>
        </w:rPr>
        <w:t>NetworkX documentation</w:t>
      </w:r>
      <w:r>
        <w:t xml:space="preserve">  </w:t>
      </w:r>
      <w:hyperlink r:id="rId25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[16] </w:t>
      </w:r>
      <w:r>
        <w:rPr>
          <w:rFonts w:ascii="Noto Sans CJK SC" w:hAnsi="Noto Sans CJK SC" w:eastAsia="Noto Sans CJK SC"/>
          <w:color w:val="24313C"/>
          <w:sz w:val="15"/>
        </w:rPr>
        <w:t>MLflow Tracking documentation</w:t>
      </w:r>
      <w:r>
        <w:t xml:space="preserve">  </w:t>
      </w:r>
      <w:hyperlink r:id="rId26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[17] </w:t>
      </w:r>
      <w:r>
        <w:rPr>
          <w:rFonts w:ascii="Noto Sans CJK SC" w:hAnsi="Noto Sans CJK SC" w:eastAsia="Noto Sans CJK SC"/>
          <w:color w:val="24313C"/>
          <w:sz w:val="15"/>
        </w:rPr>
        <w:t>SysML v2 Pilot Implementation</w:t>
      </w:r>
      <w:r>
        <w:t xml:space="preserve">  </w:t>
      </w:r>
      <w:hyperlink r:id="rId27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[18] </w:t>
      </w:r>
      <w:r>
        <w:rPr>
          <w:rFonts w:ascii="Noto Sans CJK SC" w:hAnsi="Noto Sans CJK SC" w:eastAsia="Noto Sans CJK SC"/>
          <w:color w:val="24313C"/>
          <w:sz w:val="15"/>
        </w:rPr>
        <w:t>Eclipse SysON</w:t>
      </w:r>
      <w:r>
        <w:t xml:space="preserve">  </w:t>
      </w:r>
      <w:hyperlink r:id="rId28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p>
      <w:pPr>
        <w:spacing w:after="0" w:line="240" w:lineRule="auto"/>
        <w:ind w:left="113" w:hanging="113"/>
        <w:widowControl/>
      </w:pPr>
      <w:r>
        <w:rPr>
          <w:rFonts w:ascii="Noto Sans CJK SC" w:hAnsi="Noto Sans CJK SC" w:eastAsia="Noto Sans CJK SC"/>
          <w:b/>
          <w:color w:val="17324D"/>
          <w:sz w:val="15"/>
        </w:rPr>
        <w:t xml:space="preserve">[19] </w:t>
      </w:r>
      <w:r>
        <w:rPr>
          <w:rFonts w:ascii="Noto Sans CJK SC" w:hAnsi="Noto Sans CJK SC" w:eastAsia="Noto Sans CJK SC"/>
          <w:color w:val="24313C"/>
          <w:sz w:val="15"/>
        </w:rPr>
        <w:t>Pluggy project</w:t>
      </w:r>
      <w:r>
        <w:t xml:space="preserve">  </w:t>
      </w:r>
      <w:hyperlink r:id="rId29">
        <w:r>
          <w:rPr>
            <w:color w:val="2B6F9C"/>
            <w:u w:val="single"/>
            <w:rFonts w:ascii="Noto Sans CJK SC" w:eastAsia="Noto Sans CJK SC"/>
          </w:rPr>
          <w:t>官方链接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color w:val="5E6B75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b/>
        <w:color w:val="2B6F9C"/>
        <w:sz w:val="16"/>
      </w:rPr>
      <w:t>MBSE × AI Agent  |  RFLP-Lite Open-source Component Selection</w:t>
    </w:r>
  </w:p>
  <w:p>
    <w:pPr>
      <w:pBdr>
        <w:bottom w:val="single" w:sz="10" w:space="1" w:color="C69A3B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Noto Sans CJK SC" w:hAnsi="Noto Sans CJK SC" w:eastAsia="Noto Sans CJK SC"/>
      <w:color w:val="2431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6F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69A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N">
    <w:name w:val="SubtitleCN"/>
    <w:rPr>
      <w:rFonts w:ascii="Noto Sans CJK SC" w:hAnsi="Noto Sans CJK SC" w:eastAsia="Noto Sans CJK SC"/>
      <w:color w:val="5E6B75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mport-linter.readthedocs.io/en/latest/" TargetMode="External"/><Relationship Id="rId12" Type="http://schemas.openxmlformats.org/officeDocument/2006/relationships/hyperlink" Target="https://python-jsonschema.readthedocs.io/en/stable/" TargetMode="External"/><Relationship Id="rId13" Type="http://schemas.openxmlformats.org/officeDocument/2006/relationships/hyperlink" Target="https://json-schema.org/docs" TargetMode="External"/><Relationship Id="rId14" Type="http://schemas.openxmlformats.org/officeDocument/2006/relationships/hyperlink" Target="https://developers.google.com/optimization/cp/cp_solver" TargetMode="External"/><Relationship Id="rId15" Type="http://schemas.openxmlformats.org/officeDocument/2006/relationships/hyperlink" Target="https://prance.readthedocs.io/en/latest/api/prance.html" TargetMode="External"/><Relationship Id="rId16" Type="http://schemas.openxmlformats.org/officeDocument/2006/relationships/hyperlink" Target="https://github.com/weiwei/junitparser" TargetMode="External"/><Relationship Id="rId17" Type="http://schemas.openxmlformats.org/officeDocument/2006/relationships/hyperlink" Target="https://hypothesis.readthedocs.io/en/latest/" TargetMode="External"/><Relationship Id="rId18" Type="http://schemas.openxmlformats.org/officeDocument/2006/relationships/hyperlink" Target="https://github.com/567-labs/instructor" TargetMode="External"/><Relationship Id="rId19" Type="http://schemas.openxmlformats.org/officeDocument/2006/relationships/hyperlink" Target="https://github.com/ggml-org/llama.cpp/blob/master/tools/server/README.md" TargetMode="External"/><Relationship Id="rId20" Type="http://schemas.openxmlformats.org/officeDocument/2006/relationships/hyperlink" Target="https://docs.ollama.com/api/openai-compatibility" TargetMode="External"/><Relationship Id="rId21" Type="http://schemas.openxmlformats.org/officeDocument/2006/relationships/hyperlink" Target="https://rapidfuzz.github.io/RapidFuzz/" TargetMode="External"/><Relationship Id="rId22" Type="http://schemas.openxmlformats.org/officeDocument/2006/relationships/hyperlink" Target="https://python-openapi.org/openapi-core/docs/latest/validation/" TargetMode="External"/><Relationship Id="rId23" Type="http://schemas.openxmlformats.org/officeDocument/2006/relationships/hyperlink" Target="https://github.com/docling-project/docling" TargetMode="External"/><Relationship Id="rId24" Type="http://schemas.openxmlformats.org/officeDocument/2006/relationships/hyperlink" Target="https://simpy.readthedocs.io/en/stable/" TargetMode="External"/><Relationship Id="rId25" Type="http://schemas.openxmlformats.org/officeDocument/2006/relationships/hyperlink" Target="https://networkx.org/documentation/stable/" TargetMode="External"/><Relationship Id="rId26" Type="http://schemas.openxmlformats.org/officeDocument/2006/relationships/hyperlink" Target="https://mlflow.org/docs/latest/ml/tracking/" TargetMode="External"/><Relationship Id="rId27" Type="http://schemas.openxmlformats.org/officeDocument/2006/relationships/hyperlink" Target="https://github.com/Systems-Modeling/SysML-v2-Pilot-Implementation" TargetMode="External"/><Relationship Id="rId28" Type="http://schemas.openxmlformats.org/officeDocument/2006/relationships/hyperlink" Target="https://github.com/eclipse-syson/syson" TargetMode="External"/><Relationship Id="rId29" Type="http://schemas.openxmlformats.org/officeDocument/2006/relationships/hyperlink" Target="https://github.com/pytest-dev/plug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RFLP-Lite 可复用开源项目组件调研与选型建议</dc:title>
  <dc:subject>MBSE × AI Agent 轻量化执行规划的开源组件复用与选型</dc:subject>
  <dc:creator>OpenAI</dc:creator>
  <cp:keywords>RFLP, MBSE, AI Agent, open source, architecture, components</cp:keywords>
  <dc:description>Generated from the RFLP-Lite v1.1 execution plan and official project documentation.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