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Noto Sans CJK SC" w:hAnsi="Noto Sans CJK SC" w:eastAsia="Noto Sans CJK SC"/>
          <w:b/>
          <w:color w:val="1F4E79"/>
          <w:sz w:val="50"/>
        </w:rPr>
        <w:t>RFLP-Lite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架构可修改性与插件化非功能需求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color w:val="595959"/>
          <w:sz w:val="24"/>
        </w:rPr>
        <w:t>低耦合 · 高内聚 · 可插拔 · 可替换 · 易演化</w:t>
      </w:r>
    </w:p>
    <w:p>
      <w:pPr>
        <w:spacing w:before="1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shd w:fill="D9EA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文档性质</w:t>
            </w:r>
          </w:p>
        </w:tc>
        <w:tc>
          <w:tcPr>
            <w:tcW w:type="dxa" w:w="48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现有执行方案的架构质量属性与约束补充</w:t>
            </w:r>
          </w:p>
        </w:tc>
      </w:tr>
      <w:tr>
        <w:trPr>
          <w:cantSplit/>
        </w:trPr>
        <w:tc>
          <w:tcPr>
            <w:tcW w:type="dxa" w:w="4873"/>
            <w:shd w:fill="D9EA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适用对象</w:t>
            </w:r>
          </w:p>
        </w:tc>
        <w:tc>
          <w:tcPr>
            <w:tcW w:type="dxa" w:w="48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RFLP-Lite 核心内核、插件框架、外部适配器与组合工作流</w:t>
            </w:r>
          </w:p>
        </w:tc>
      </w:tr>
      <w:tr>
        <w:trPr>
          <w:cantSplit/>
        </w:trPr>
        <w:tc>
          <w:tcPr>
            <w:tcW w:type="dxa" w:w="4873"/>
            <w:shd w:fill="D9EA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版本</w:t>
            </w:r>
          </w:p>
        </w:tc>
        <w:tc>
          <w:tcPr>
            <w:tcW w:type="dxa" w:w="48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v1.0</w:t>
            </w:r>
          </w:p>
        </w:tc>
      </w:tr>
      <w:tr>
        <w:trPr>
          <w:cantSplit/>
        </w:trPr>
        <w:tc>
          <w:tcPr>
            <w:tcW w:type="dxa" w:w="4873"/>
            <w:shd w:fill="D9EA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状态</w:t>
            </w:r>
          </w:p>
        </w:tc>
        <w:tc>
          <w:tcPr>
            <w:tcW w:type="dxa" w:w="48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设计基线候选</w:t>
            </w:r>
          </w:p>
        </w:tc>
      </w:tr>
      <w:tr>
        <w:trPr>
          <w:cantSplit/>
        </w:trPr>
        <w:tc>
          <w:tcPr>
            <w:tcW w:type="dxa" w:w="4873"/>
            <w:shd w:fill="D9EAF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日期</w:t>
            </w:r>
          </w:p>
        </w:tc>
        <w:tc>
          <w:tcPr>
            <w:tcW w:type="dxa" w:w="487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2026 年 8 月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文档目的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本文件将项目提出者关于“便于修改、局部替换、避免牵一发而动全身”的要求，转换为可执行、可验证且无歧义的架构约束。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1"/>
        </w:rPr>
        <w:t>本项目的重点不是单纯追求体积小或依赖少，而是建立一个具备可修改性、可替换性、可插拔性、可扩展性和故障隔离能力的可演化架构。</w:t>
      </w:r>
    </w:p>
    <w:p>
      <w:pPr>
        <w:pStyle w:val="Heading1"/>
        <w:keepNext/>
      </w:pPr>
      <w:r>
        <w:t>2. 总体架构目标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AF2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3"/>
              </w:rPr>
              <w:t>系统应通过分层、模块化、面向接口和依赖倒置设计，使任一模块、插件或局部架构发生修改、升级、替换或故障时，其影响尽量被限制在该模块及其适配边界内，不得导致无关模块大范围修改、核心数据损坏或整个系统不可运行。</w:t>
            </w:r>
          </w:p>
        </w:tc>
      </w:tr>
    </w:tbl>
    <w:p>
      <w:pPr>
        <w:pStyle w:val="Heading1"/>
        <w:keepNext/>
      </w:pPr>
      <w:r>
        <w:t>3. 术语与规范用语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3249"/>
            <w:shd w:fill="1F4E79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3249"/>
            <w:shd w:fill="1F4E79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专业含义</w:t>
            </w:r>
          </w:p>
        </w:tc>
        <w:tc>
          <w:tcPr>
            <w:tcW w:type="dxa" w:w="3249"/>
            <w:shd w:fill="1F4E79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本项目中的解释</w:t>
            </w:r>
          </w:p>
        </w:tc>
      </w:tr>
      <w:tr>
        <w:trPr>
          <w:cantSplit/>
        </w:trPr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可修改性 Modifiability</w:t>
            </w:r>
          </w:p>
        </w:tc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系统以较低成本适应变更的能力</w:t>
            </w:r>
          </w:p>
        </w:tc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修改一个模块时，修改范围应局部化。</w:t>
            </w:r>
          </w:p>
        </w:tc>
      </w:tr>
      <w:tr>
        <w:trPr>
          <w:cantSplit/>
        </w:trPr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可替换性 Replaceability</w:t>
            </w:r>
          </w:p>
        </w:tc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一个实现可由另一实现替代</w:t>
            </w:r>
          </w:p>
        </w:tc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更换 LLM、数据库、求解器或分析器时，不改核心业务语义。</w:t>
            </w:r>
          </w:p>
        </w:tc>
      </w:tr>
      <w:tr>
        <w:trPr>
          <w:cantSplit/>
        </w:trPr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可插拔性 Pluggability</w:t>
            </w:r>
          </w:p>
        </w:tc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组件可按统一契约安装、启停和切换</w:t>
            </w:r>
          </w:p>
        </w:tc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通过配置与适配器接入外部能力。</w:t>
            </w:r>
          </w:p>
        </w:tc>
      </w:tr>
      <w:tr>
        <w:trPr>
          <w:cantSplit/>
        </w:trPr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低耦合 Low Coupling</w:t>
            </w:r>
          </w:p>
        </w:tc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模块之间依赖尽可能少且稳定</w:t>
            </w:r>
          </w:p>
        </w:tc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模块只依赖公开接口，不依赖内部实现。</w:t>
            </w:r>
          </w:p>
        </w:tc>
      </w:tr>
      <w:tr>
        <w:trPr>
          <w:cantSplit/>
        </w:trPr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高内聚 High Cohesion</w:t>
            </w:r>
          </w:p>
        </w:tc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单个模块职责集中且边界清晰</w:t>
            </w:r>
          </w:p>
        </w:tc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相关逻辑放在同一模块，避免职责散落。</w:t>
            </w:r>
          </w:p>
        </w:tc>
      </w:tr>
      <w:tr>
        <w:trPr>
          <w:cantSplit/>
        </w:trPr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故障隔离 Fault Isolation</w:t>
            </w:r>
          </w:p>
        </w:tc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局部故障不扩散为系统级故障</w:t>
            </w:r>
          </w:p>
        </w:tc>
        <w:tc>
          <w:tcPr>
            <w:tcW w:type="dxa" w:w="32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插件异常不能损坏核心模型与正式基线。</w:t>
            </w:r>
          </w:p>
        </w:tc>
      </w:tr>
    </w:tbl>
    <w:p>
      <w:pPr>
        <w:pStyle w:val="Heading1"/>
        <w:keepNext/>
      </w:pPr>
      <w:r>
        <w:t>4. 强制性架构需求</w:t>
      </w:r>
    </w:p>
    <w:p>
      <w:pPr>
        <w:keepNext/>
        <w:spacing w:before="100" w:after="40"/>
      </w:pPr>
      <w:r>
        <w:rPr>
          <w:rFonts w:ascii="Noto Sans CJK SC" w:hAnsi="Noto Sans CJK SC" w:eastAsia="Noto Sans CJK SC"/>
          <w:b/>
          <w:color w:val="1F4E79"/>
          <w:sz w:val="22"/>
        </w:rPr>
        <w:t>AR-01  低耦合</w:t>
      </w:r>
    </w:p>
    <w:p>
      <w:pPr>
        <w:pStyle w:val="BodyText"/>
        <w:keepNext/>
        <w:keepLines/>
        <w:spacing w:after="40"/>
        <w:ind w:left="283"/>
      </w:pPr>
      <w:r>
        <w:rPr>
          <w:rFonts w:ascii="Noto Sans CJK SC" w:hAnsi="Noto Sans CJK SC" w:eastAsia="Noto Sans CJK SC"/>
          <w:b/>
          <w:sz w:val="21"/>
        </w:rPr>
        <w:t>要求：</w:t>
      </w:r>
      <w:r>
        <w:rPr>
          <w:rFonts w:ascii="Noto Sans CJK SC" w:hAnsi="Noto Sans CJK SC" w:eastAsia="Noto Sans CJK SC"/>
          <w:sz w:val="21"/>
        </w:rPr>
        <w:t>各层和各模块必须仅通过公开、稳定且版本化的接口协作；禁止跨层调用内部实现、直接访问其他模块私有状态或依赖供应商特定对象。</w:t>
      </w:r>
    </w:p>
    <w:p>
      <w:pPr>
        <w:pStyle w:val="BodyText"/>
        <w:keepNext/>
        <w:keepLines/>
        <w:spacing w:after="40"/>
        <w:ind w:left="283"/>
      </w:pPr>
      <w:r>
        <w:rPr>
          <w:rFonts w:ascii="Noto Sans CJK SC" w:hAnsi="Noto Sans CJK SC" w:eastAsia="Noto Sans CJK SC"/>
          <w:b/>
          <w:sz w:val="21"/>
        </w:rPr>
        <w:t>目的：</w:t>
      </w:r>
      <w:r>
        <w:rPr>
          <w:rFonts w:ascii="Noto Sans CJK SC" w:hAnsi="Noto Sans CJK SC" w:eastAsia="Noto Sans CJK SC"/>
          <w:sz w:val="21"/>
        </w:rPr>
        <w:t>降低局部修改向其他模块传播的概率。</w:t>
      </w:r>
    </w:p>
    <w:p>
      <w:pPr>
        <w:pStyle w:val="BodyText"/>
        <w:keepLines/>
        <w:spacing w:after="80"/>
        <w:ind w:left="283"/>
      </w:pPr>
      <w:r>
        <w:rPr>
          <w:rFonts w:ascii="Noto Sans CJK SC" w:hAnsi="Noto Sans CJK SC" w:eastAsia="Noto Sans CJK SC"/>
          <w:b/>
          <w:sz w:val="21"/>
        </w:rPr>
        <w:t>验证：</w:t>
      </w:r>
      <w:r>
        <w:rPr>
          <w:rFonts w:ascii="Noto Sans CJK SC" w:hAnsi="Noto Sans CJK SC" w:eastAsia="Noto Sans CJK SC"/>
          <w:sz w:val="21"/>
        </w:rPr>
        <w:t>静态依赖检查不得发现禁止的跨层引用。</w:t>
      </w:r>
    </w:p>
    <w:p>
      <w:pPr>
        <w:keepNext/>
        <w:spacing w:before="100" w:after="40"/>
      </w:pPr>
      <w:r>
        <w:rPr>
          <w:rFonts w:ascii="Noto Sans CJK SC" w:hAnsi="Noto Sans CJK SC" w:eastAsia="Noto Sans CJK SC"/>
          <w:b/>
          <w:color w:val="1F4E79"/>
          <w:sz w:val="22"/>
        </w:rPr>
        <w:t>AR-02  高内聚与单一职责</w:t>
      </w:r>
    </w:p>
    <w:p>
      <w:pPr>
        <w:pStyle w:val="BodyText"/>
        <w:keepNext/>
        <w:keepLines/>
        <w:spacing w:after="40"/>
        <w:ind w:left="283"/>
      </w:pPr>
      <w:r>
        <w:rPr>
          <w:rFonts w:ascii="Noto Sans CJK SC" w:hAnsi="Noto Sans CJK SC" w:eastAsia="Noto Sans CJK SC"/>
          <w:b/>
          <w:sz w:val="21"/>
        </w:rPr>
        <w:t>要求：</w:t>
      </w:r>
      <w:r>
        <w:rPr>
          <w:rFonts w:ascii="Noto Sans CJK SC" w:hAnsi="Noto Sans CJK SC" w:eastAsia="Noto Sans CJK SC"/>
          <w:sz w:val="21"/>
        </w:rPr>
        <w:t>每个模块必须围绕一个明确能力或业务职责组织；同一职责不得无必要地分散到多个层或多个插件中。</w:t>
      </w:r>
    </w:p>
    <w:p>
      <w:pPr>
        <w:pStyle w:val="BodyText"/>
        <w:keepNext/>
        <w:keepLines/>
        <w:spacing w:after="40"/>
        <w:ind w:left="283"/>
      </w:pPr>
      <w:r>
        <w:rPr>
          <w:rFonts w:ascii="Noto Sans CJK SC" w:hAnsi="Noto Sans CJK SC" w:eastAsia="Noto Sans CJK SC"/>
          <w:b/>
          <w:sz w:val="21"/>
        </w:rPr>
        <w:t>目的：</w:t>
      </w:r>
      <w:r>
        <w:rPr>
          <w:rFonts w:ascii="Noto Sans CJK SC" w:hAnsi="Noto Sans CJK SC" w:eastAsia="Noto Sans CJK SC"/>
          <w:sz w:val="21"/>
        </w:rPr>
        <w:t>保证模块边界清楚，便于独立理解、修改和测试。</w:t>
      </w:r>
    </w:p>
    <w:p>
      <w:pPr>
        <w:pStyle w:val="BodyText"/>
        <w:keepLines/>
        <w:spacing w:after="80"/>
        <w:ind w:left="283"/>
      </w:pPr>
      <w:r>
        <w:rPr>
          <w:rFonts w:ascii="Noto Sans CJK SC" w:hAnsi="Noto Sans CJK SC" w:eastAsia="Noto Sans CJK SC"/>
          <w:b/>
          <w:sz w:val="21"/>
        </w:rPr>
        <w:t>验证：</w:t>
      </w:r>
      <w:r>
        <w:rPr>
          <w:rFonts w:ascii="Noto Sans CJK SC" w:hAnsi="Noto Sans CJK SC" w:eastAsia="Noto Sans CJK SC"/>
          <w:sz w:val="21"/>
        </w:rPr>
        <w:t>模块职责说明、代码依赖与测试范围应一致。</w:t>
      </w:r>
    </w:p>
    <w:p>
      <w:pPr>
        <w:keepNext/>
        <w:spacing w:before="100" w:after="40"/>
      </w:pPr>
      <w:r>
        <w:rPr>
          <w:rFonts w:ascii="Noto Sans CJK SC" w:hAnsi="Noto Sans CJK SC" w:eastAsia="Noto Sans CJK SC"/>
          <w:b/>
          <w:color w:val="1F4E79"/>
          <w:sz w:val="22"/>
        </w:rPr>
        <w:t>AR-03  依赖倒置</w:t>
      </w:r>
    </w:p>
    <w:p>
      <w:pPr>
        <w:pStyle w:val="BodyText"/>
        <w:keepNext/>
        <w:keepLines/>
        <w:spacing w:after="40"/>
        <w:ind w:left="283"/>
      </w:pPr>
      <w:r>
        <w:rPr>
          <w:rFonts w:ascii="Noto Sans CJK SC" w:hAnsi="Noto Sans CJK SC" w:eastAsia="Noto Sans CJK SC"/>
          <w:b/>
          <w:sz w:val="21"/>
        </w:rPr>
        <w:t>要求：</w:t>
      </w:r>
      <w:r>
        <w:rPr>
          <w:rFonts w:ascii="Noto Sans CJK SC" w:hAnsi="Noto Sans CJK SC" w:eastAsia="Noto Sans CJK SC"/>
          <w:sz w:val="21"/>
        </w:rPr>
        <w:t>核心领域内核与应用流程必须依赖抽象 Port，而不得依赖具体数据库、LLM、求解器、代码分析工具、仿真器或 Agent 实现。</w:t>
      </w:r>
    </w:p>
    <w:p>
      <w:pPr>
        <w:pStyle w:val="BodyText"/>
        <w:keepNext/>
        <w:keepLines/>
        <w:spacing w:after="40"/>
        <w:ind w:left="283"/>
      </w:pPr>
      <w:r>
        <w:rPr>
          <w:rFonts w:ascii="Noto Sans CJK SC" w:hAnsi="Noto Sans CJK SC" w:eastAsia="Noto Sans CJK SC"/>
          <w:b/>
          <w:sz w:val="21"/>
        </w:rPr>
        <w:t>目的：</w:t>
      </w:r>
      <w:r>
        <w:rPr>
          <w:rFonts w:ascii="Noto Sans CJK SC" w:hAnsi="Noto Sans CJK SC" w:eastAsia="Noto Sans CJK SC"/>
          <w:sz w:val="21"/>
        </w:rPr>
        <w:t>确保外部技术变化不反向控制核心架构。</w:t>
      </w:r>
    </w:p>
    <w:p>
      <w:pPr>
        <w:pStyle w:val="BodyText"/>
        <w:keepLines/>
        <w:spacing w:after="80"/>
        <w:ind w:left="283"/>
      </w:pPr>
      <w:r>
        <w:rPr>
          <w:rFonts w:ascii="Noto Sans CJK SC" w:hAnsi="Noto Sans CJK SC" w:eastAsia="Noto Sans CJK SC"/>
          <w:b/>
          <w:sz w:val="21"/>
        </w:rPr>
        <w:t>验证：</w:t>
      </w:r>
      <w:r>
        <w:rPr>
          <w:rFonts w:ascii="Noto Sans CJK SC" w:hAnsi="Noto Sans CJK SC" w:eastAsia="Noto Sans CJK SC"/>
          <w:sz w:val="21"/>
        </w:rPr>
        <w:t>替换具体实现时，domain 与核心 application 代码应保持不变。</w:t>
      </w:r>
    </w:p>
    <w:p>
      <w:pPr>
        <w:keepNext/>
        <w:spacing w:before="100" w:after="40"/>
      </w:pPr>
      <w:r>
        <w:rPr>
          <w:rFonts w:ascii="Noto Sans CJK SC" w:hAnsi="Noto Sans CJK SC" w:eastAsia="Noto Sans CJK SC"/>
          <w:b/>
          <w:color w:val="1F4E79"/>
          <w:sz w:val="22"/>
        </w:rPr>
        <w:t>AR-04  插件化接入</w:t>
      </w:r>
    </w:p>
    <w:p>
      <w:pPr>
        <w:pStyle w:val="BodyText"/>
        <w:keepNext/>
        <w:keepLines/>
        <w:spacing w:after="40"/>
        <w:ind w:left="283"/>
      </w:pPr>
      <w:r>
        <w:rPr>
          <w:rFonts w:ascii="Noto Sans CJK SC" w:hAnsi="Noto Sans CJK SC" w:eastAsia="Noto Sans CJK SC"/>
          <w:b/>
          <w:sz w:val="21"/>
        </w:rPr>
        <w:t>要求：</w:t>
      </w:r>
      <w:r>
        <w:rPr>
          <w:rFonts w:ascii="Noto Sans CJK SC" w:hAnsi="Noto Sans CJK SC" w:eastAsia="Noto Sans CJK SC"/>
          <w:sz w:val="21"/>
        </w:rPr>
        <w:t>所有可变外部能力必须通过 Adapter 和 Plugin Manifest 接入，并声明能力、接口版本、依赖、资源、许可证、运行模式和故障策略。</w:t>
      </w:r>
    </w:p>
    <w:p>
      <w:pPr>
        <w:pStyle w:val="BodyText"/>
        <w:keepNext/>
        <w:keepLines/>
        <w:spacing w:after="40"/>
        <w:ind w:left="283"/>
      </w:pPr>
      <w:r>
        <w:rPr>
          <w:rFonts w:ascii="Noto Sans CJK SC" w:hAnsi="Noto Sans CJK SC" w:eastAsia="Noto Sans CJK SC"/>
          <w:b/>
          <w:sz w:val="21"/>
        </w:rPr>
        <w:t>目的：</w:t>
      </w:r>
      <w:r>
        <w:rPr>
          <w:rFonts w:ascii="Noto Sans CJK SC" w:hAnsi="Noto Sans CJK SC" w:eastAsia="Noto Sans CJK SC"/>
          <w:sz w:val="21"/>
        </w:rPr>
        <w:t>使外部项目可发现、可校验、可管理。</w:t>
      </w:r>
    </w:p>
    <w:p>
      <w:pPr>
        <w:pStyle w:val="BodyText"/>
        <w:keepLines/>
        <w:spacing w:after="80"/>
        <w:ind w:left="283"/>
      </w:pPr>
      <w:r>
        <w:rPr>
          <w:rFonts w:ascii="Noto Sans CJK SC" w:hAnsi="Noto Sans CJK SC" w:eastAsia="Noto Sans CJK SC"/>
          <w:b/>
          <w:sz w:val="21"/>
        </w:rPr>
        <w:t>验证：</w:t>
      </w:r>
      <w:r>
        <w:rPr>
          <w:rFonts w:ascii="Noto Sans CJK SC" w:hAnsi="Noto Sans CJK SC" w:eastAsia="Noto Sans CJK SC"/>
          <w:sz w:val="21"/>
        </w:rPr>
        <w:t>未提供有效 Manifest 或未通过契约测试的插件不得启用。</w:t>
      </w:r>
    </w:p>
    <w:p>
      <w:pPr>
        <w:keepNext/>
        <w:spacing w:before="100" w:after="40"/>
      </w:pPr>
      <w:r>
        <w:rPr>
          <w:rFonts w:ascii="Noto Sans CJK SC" w:hAnsi="Noto Sans CJK SC" w:eastAsia="Noto Sans CJK SC"/>
          <w:b/>
          <w:color w:val="1F4E79"/>
          <w:sz w:val="22"/>
        </w:rPr>
        <w:t>AR-05  可替换性</w:t>
      </w:r>
    </w:p>
    <w:p>
      <w:pPr>
        <w:pStyle w:val="BodyText"/>
        <w:keepNext/>
        <w:keepLines/>
        <w:spacing w:after="40"/>
        <w:ind w:left="283"/>
      </w:pPr>
      <w:r>
        <w:rPr>
          <w:rFonts w:ascii="Noto Sans CJK SC" w:hAnsi="Noto Sans CJK SC" w:eastAsia="Noto Sans CJK SC"/>
          <w:b/>
          <w:sz w:val="21"/>
        </w:rPr>
        <w:t>要求：</w:t>
      </w:r>
      <w:r>
        <w:rPr>
          <w:rFonts w:ascii="Noto Sans CJK SC" w:hAnsi="Noto Sans CJK SC" w:eastAsia="Noto Sans CJK SC"/>
          <w:sz w:val="21"/>
        </w:rPr>
        <w:t>同一 Port 的多个实现必须能够通过配置切换；切换不得要求修改核心模型、正式关系语义或主工作流。</w:t>
      </w:r>
    </w:p>
    <w:p>
      <w:pPr>
        <w:pStyle w:val="BodyText"/>
        <w:keepNext/>
        <w:keepLines/>
        <w:spacing w:after="40"/>
        <w:ind w:left="283"/>
      </w:pPr>
      <w:r>
        <w:rPr>
          <w:rFonts w:ascii="Noto Sans CJK SC" w:hAnsi="Noto Sans CJK SC" w:eastAsia="Noto Sans CJK SC"/>
          <w:b/>
          <w:sz w:val="21"/>
        </w:rPr>
        <w:t>目的：</w:t>
      </w:r>
      <w:r>
        <w:rPr>
          <w:rFonts w:ascii="Noto Sans CJK SC" w:hAnsi="Noto Sans CJK SC" w:eastAsia="Noto Sans CJK SC"/>
          <w:sz w:val="21"/>
        </w:rPr>
        <w:t>支持技术选型、版本升级和供应商替换。</w:t>
      </w:r>
    </w:p>
    <w:p>
      <w:pPr>
        <w:pStyle w:val="BodyText"/>
        <w:keepLines/>
        <w:spacing w:after="80"/>
        <w:ind w:left="283"/>
      </w:pPr>
      <w:r>
        <w:rPr>
          <w:rFonts w:ascii="Noto Sans CJK SC" w:hAnsi="Noto Sans CJK SC" w:eastAsia="Noto Sans CJK SC"/>
          <w:b/>
          <w:sz w:val="21"/>
        </w:rPr>
        <w:t>验证：</w:t>
      </w:r>
      <w:r>
        <w:rPr>
          <w:rFonts w:ascii="Noto Sans CJK SC" w:hAnsi="Noto Sans CJK SC" w:eastAsia="Noto Sans CJK SC"/>
          <w:sz w:val="21"/>
        </w:rPr>
        <w:t>至少对 ClaimExtractor、CodeAnalyzer 和 Solver 各实现两种可替换实现并完成替换测试。</w:t>
      </w:r>
    </w:p>
    <w:p>
      <w:pPr>
        <w:keepNext/>
        <w:spacing w:before="100" w:after="40"/>
      </w:pPr>
      <w:r>
        <w:rPr>
          <w:rFonts w:ascii="Noto Sans CJK SC" w:hAnsi="Noto Sans CJK SC" w:eastAsia="Noto Sans CJK SC"/>
          <w:b/>
          <w:color w:val="1F4E79"/>
          <w:sz w:val="22"/>
        </w:rPr>
        <w:t>AR-06  局部影响控制</w:t>
      </w:r>
    </w:p>
    <w:p>
      <w:pPr>
        <w:pStyle w:val="BodyText"/>
        <w:keepNext/>
        <w:keepLines/>
        <w:spacing w:after="40"/>
        <w:ind w:left="283"/>
      </w:pPr>
      <w:r>
        <w:rPr>
          <w:rFonts w:ascii="Noto Sans CJK SC" w:hAnsi="Noto Sans CJK SC" w:eastAsia="Noto Sans CJK SC"/>
          <w:b/>
          <w:sz w:val="21"/>
        </w:rPr>
        <w:t>要求：</w:t>
      </w:r>
      <w:r>
        <w:rPr>
          <w:rFonts w:ascii="Noto Sans CJK SC" w:hAnsi="Noto Sans CJK SC" w:eastAsia="Noto Sans CJK SC"/>
          <w:sz w:val="21"/>
        </w:rPr>
        <w:t>模块或插件的修改、升级与替换应将影响限制在该模块、其 Adapter、配置和必要的兼容层内；不得引发无关模块的大范围修改。</w:t>
      </w:r>
    </w:p>
    <w:p>
      <w:pPr>
        <w:pStyle w:val="BodyText"/>
        <w:keepNext/>
        <w:keepLines/>
        <w:spacing w:after="40"/>
        <w:ind w:left="283"/>
      </w:pPr>
      <w:r>
        <w:rPr>
          <w:rFonts w:ascii="Noto Sans CJK SC" w:hAnsi="Noto Sans CJK SC" w:eastAsia="Noto Sans CJK SC"/>
          <w:b/>
          <w:sz w:val="21"/>
        </w:rPr>
        <w:t>目的：</w:t>
      </w:r>
      <w:r>
        <w:rPr>
          <w:rFonts w:ascii="Noto Sans CJK SC" w:hAnsi="Noto Sans CJK SC" w:eastAsia="Noto Sans CJK SC"/>
          <w:sz w:val="21"/>
        </w:rPr>
        <w:t>避免“修改一个地方导致所有模块失效”。</w:t>
      </w:r>
    </w:p>
    <w:p>
      <w:pPr>
        <w:pStyle w:val="BodyText"/>
        <w:keepLines/>
        <w:spacing w:after="80"/>
        <w:ind w:left="283"/>
      </w:pPr>
      <w:r>
        <w:rPr>
          <w:rFonts w:ascii="Noto Sans CJK SC" w:hAnsi="Noto Sans CJK SC" w:eastAsia="Noto Sans CJK SC"/>
          <w:b/>
          <w:sz w:val="21"/>
        </w:rPr>
        <w:t>验证：</w:t>
      </w:r>
      <w:r>
        <w:rPr>
          <w:rFonts w:ascii="Noto Sans CJK SC" w:hAnsi="Noto Sans CJK SC" w:eastAsia="Noto Sans CJK SC"/>
          <w:sz w:val="21"/>
        </w:rPr>
        <w:t>变更影响分析应能列出受影响模块，并证明未受影响模块无需修改。</w:t>
      </w:r>
    </w:p>
    <w:p>
      <w:pPr>
        <w:keepNext/>
        <w:spacing w:before="100" w:after="40"/>
      </w:pPr>
      <w:r>
        <w:rPr>
          <w:rFonts w:ascii="Noto Sans CJK SC" w:hAnsi="Noto Sans CJK SC" w:eastAsia="Noto Sans CJK SC"/>
          <w:b/>
          <w:color w:val="1F4E79"/>
          <w:sz w:val="22"/>
        </w:rPr>
        <w:t>AR-07  向后兼容与版本治理</w:t>
      </w:r>
    </w:p>
    <w:p>
      <w:pPr>
        <w:pStyle w:val="BodyText"/>
        <w:keepNext/>
        <w:keepLines/>
        <w:spacing w:after="40"/>
        <w:ind w:left="283"/>
      </w:pPr>
      <w:r>
        <w:rPr>
          <w:rFonts w:ascii="Noto Sans CJK SC" w:hAnsi="Noto Sans CJK SC" w:eastAsia="Noto Sans CJK SC"/>
          <w:b/>
          <w:sz w:val="21"/>
        </w:rPr>
        <w:t>要求：</w:t>
      </w:r>
      <w:r>
        <w:rPr>
          <w:rFonts w:ascii="Noto Sans CJK SC" w:hAnsi="Noto Sans CJK SC" w:eastAsia="Noto Sans CJK SC"/>
          <w:sz w:val="21"/>
        </w:rPr>
        <w:t>Port、Schema、Manifest 和配置必须版本化；兼容性变更应优先保持旧版本可用，不兼容变更必须提供迁移路径或并行兼容层。</w:t>
      </w:r>
    </w:p>
    <w:p>
      <w:pPr>
        <w:pStyle w:val="BodyText"/>
        <w:keepNext/>
        <w:keepLines/>
        <w:spacing w:after="40"/>
        <w:ind w:left="283"/>
      </w:pPr>
      <w:r>
        <w:rPr>
          <w:rFonts w:ascii="Noto Sans CJK SC" w:hAnsi="Noto Sans CJK SC" w:eastAsia="Noto Sans CJK SC"/>
          <w:b/>
          <w:sz w:val="21"/>
        </w:rPr>
        <w:t>目的：</w:t>
      </w:r>
      <w:r>
        <w:rPr>
          <w:rFonts w:ascii="Noto Sans CJK SC" w:hAnsi="Noto Sans CJK SC" w:eastAsia="Noto Sans CJK SC"/>
          <w:sz w:val="21"/>
        </w:rPr>
        <w:t>避免接口演进造成系统整体中断。</w:t>
      </w:r>
    </w:p>
    <w:p>
      <w:pPr>
        <w:pStyle w:val="BodyText"/>
        <w:keepLines/>
        <w:spacing w:after="80"/>
        <w:ind w:left="283"/>
      </w:pPr>
      <w:r>
        <w:rPr>
          <w:rFonts w:ascii="Noto Sans CJK SC" w:hAnsi="Noto Sans CJK SC" w:eastAsia="Noto Sans CJK SC"/>
          <w:b/>
          <w:sz w:val="21"/>
        </w:rPr>
        <w:t>验证：</w:t>
      </w:r>
      <w:r>
        <w:rPr>
          <w:rFonts w:ascii="Noto Sans CJK SC" w:hAnsi="Noto Sans CJK SC" w:eastAsia="Noto Sans CJK SC"/>
          <w:sz w:val="21"/>
        </w:rPr>
        <w:t>旧插件在约定兼容窗口内仍应通过回归测试。</w:t>
      </w:r>
    </w:p>
    <w:p>
      <w:pPr>
        <w:keepNext/>
        <w:spacing w:before="100" w:after="40"/>
      </w:pPr>
      <w:r>
        <w:rPr>
          <w:rFonts w:ascii="Noto Sans CJK SC" w:hAnsi="Noto Sans CJK SC" w:eastAsia="Noto Sans CJK SC"/>
          <w:b/>
          <w:color w:val="1F4E79"/>
          <w:sz w:val="22"/>
        </w:rPr>
        <w:t>AR-08  故障隔离与降级</w:t>
      </w:r>
    </w:p>
    <w:p>
      <w:pPr>
        <w:pStyle w:val="BodyText"/>
        <w:keepNext/>
        <w:keepLines/>
        <w:spacing w:after="40"/>
        <w:ind w:left="283"/>
      </w:pPr>
      <w:r>
        <w:rPr>
          <w:rFonts w:ascii="Noto Sans CJK SC" w:hAnsi="Noto Sans CJK SC" w:eastAsia="Noto Sans CJK SC"/>
          <w:b/>
          <w:sz w:val="21"/>
        </w:rPr>
        <w:t>要求：</w:t>
      </w:r>
      <w:r>
        <w:rPr>
          <w:rFonts w:ascii="Noto Sans CJK SC" w:hAnsi="Noto Sans CJK SC" w:eastAsia="Noto Sans CJK SC"/>
          <w:sz w:val="21"/>
        </w:rPr>
        <w:t>单个外部插件发生异常、超时、非法输出或不可用时，不得破坏核心模型、数据库和正式 Baseline；系统应按策略执行重试、备用插件、降级、拒绝结果或回滚。</w:t>
      </w:r>
    </w:p>
    <w:p>
      <w:pPr>
        <w:pStyle w:val="BodyText"/>
        <w:keepNext/>
        <w:keepLines/>
        <w:spacing w:after="40"/>
        <w:ind w:left="283"/>
      </w:pPr>
      <w:r>
        <w:rPr>
          <w:rFonts w:ascii="Noto Sans CJK SC" w:hAnsi="Noto Sans CJK SC" w:eastAsia="Noto Sans CJK SC"/>
          <w:b/>
          <w:sz w:val="21"/>
        </w:rPr>
        <w:t>目的：</w:t>
      </w:r>
      <w:r>
        <w:rPr>
          <w:rFonts w:ascii="Noto Sans CJK SC" w:hAnsi="Noto Sans CJK SC" w:eastAsia="Noto Sans CJK SC"/>
          <w:sz w:val="21"/>
        </w:rPr>
        <w:t>将局部故障控制在局部范围。</w:t>
      </w:r>
    </w:p>
    <w:p>
      <w:pPr>
        <w:pStyle w:val="BodyText"/>
        <w:keepLines/>
        <w:spacing w:after="80"/>
        <w:ind w:left="283"/>
      </w:pPr>
      <w:r>
        <w:rPr>
          <w:rFonts w:ascii="Noto Sans CJK SC" w:hAnsi="Noto Sans CJK SC" w:eastAsia="Noto Sans CJK SC"/>
          <w:b/>
          <w:sz w:val="21"/>
        </w:rPr>
        <w:t>验证：</w:t>
      </w:r>
      <w:r>
        <w:rPr>
          <w:rFonts w:ascii="Noto Sans CJK SC" w:hAnsi="Noto Sans CJK SC" w:eastAsia="Noto Sans CJK SC"/>
          <w:sz w:val="21"/>
        </w:rPr>
        <w:t>通过故障注入验证插件崩溃后核心进程、数据和其他流程仍可用。</w:t>
      </w:r>
    </w:p>
    <w:p>
      <w:pPr>
        <w:keepNext/>
        <w:spacing w:before="100" w:after="40"/>
      </w:pPr>
      <w:r>
        <w:rPr>
          <w:rFonts w:ascii="Noto Sans CJK SC" w:hAnsi="Noto Sans CJK SC" w:eastAsia="Noto Sans CJK SC"/>
          <w:b/>
          <w:color w:val="1F4E79"/>
          <w:sz w:val="22"/>
        </w:rPr>
        <w:t>AR-09  核心独立运行</w:t>
      </w:r>
    </w:p>
    <w:p>
      <w:pPr>
        <w:pStyle w:val="BodyText"/>
        <w:keepNext/>
        <w:keepLines/>
        <w:spacing w:after="40"/>
        <w:ind w:left="283"/>
      </w:pPr>
      <w:r>
        <w:rPr>
          <w:rFonts w:ascii="Noto Sans CJK SC" w:hAnsi="Noto Sans CJK SC" w:eastAsia="Noto Sans CJK SC"/>
          <w:b/>
          <w:sz w:val="21"/>
        </w:rPr>
        <w:t>要求：</w:t>
      </w:r>
      <w:r>
        <w:rPr>
          <w:rFonts w:ascii="Noto Sans CJK SC" w:hAnsi="Noto Sans CJK SC" w:eastAsia="Noto Sans CJK SC"/>
          <w:sz w:val="21"/>
        </w:rPr>
        <w:t>在未安装任何可选外部插件、GPU、Docker、远程服务或重型基础设施时，核心系统仍必须能够初始化、读取基础输入、执行确定性检查并生成最小报告。</w:t>
      </w:r>
    </w:p>
    <w:p>
      <w:pPr>
        <w:pStyle w:val="BodyText"/>
        <w:keepNext/>
        <w:keepLines/>
        <w:spacing w:after="40"/>
        <w:ind w:left="283"/>
      </w:pPr>
      <w:r>
        <w:rPr>
          <w:rFonts w:ascii="Noto Sans CJK SC" w:hAnsi="Noto Sans CJK SC" w:eastAsia="Noto Sans CJK SC"/>
          <w:b/>
          <w:sz w:val="21"/>
        </w:rPr>
        <w:t>目的：</w:t>
      </w:r>
      <w:r>
        <w:rPr>
          <w:rFonts w:ascii="Noto Sans CJK SC" w:hAnsi="Noto Sans CJK SC" w:eastAsia="Noto Sans CJK SC"/>
          <w:sz w:val="21"/>
        </w:rPr>
        <w:t>防止可选能力成为系统单点依赖。</w:t>
      </w:r>
    </w:p>
    <w:p>
      <w:pPr>
        <w:pStyle w:val="BodyText"/>
        <w:keepLines/>
        <w:spacing w:after="80"/>
        <w:ind w:left="283"/>
      </w:pPr>
      <w:r>
        <w:rPr>
          <w:rFonts w:ascii="Noto Sans CJK SC" w:hAnsi="Noto Sans CJK SC" w:eastAsia="Noto Sans CJK SC"/>
          <w:b/>
          <w:sz w:val="21"/>
        </w:rPr>
        <w:t>验证：</w:t>
      </w:r>
      <w:r>
        <w:rPr>
          <w:rFonts w:ascii="Noto Sans CJK SC" w:hAnsi="Noto Sans CJK SC" w:eastAsia="Noto Sans CJK SC"/>
          <w:sz w:val="21"/>
        </w:rPr>
        <w:t>全新环境仅安装 core 后可以运行最小 demo。</w:t>
      </w:r>
    </w:p>
    <w:p>
      <w:pPr>
        <w:keepNext/>
        <w:spacing w:before="100" w:after="40"/>
      </w:pPr>
      <w:r>
        <w:rPr>
          <w:rFonts w:ascii="Noto Sans CJK SC" w:hAnsi="Noto Sans CJK SC" w:eastAsia="Noto Sans CJK SC"/>
          <w:b/>
          <w:color w:val="1F4E79"/>
          <w:sz w:val="22"/>
        </w:rPr>
        <w:t>AR-10  配置驱动组合</w:t>
      </w:r>
    </w:p>
    <w:p>
      <w:pPr>
        <w:pStyle w:val="BodyText"/>
        <w:keepNext/>
        <w:keepLines/>
        <w:spacing w:after="40"/>
        <w:ind w:left="283"/>
      </w:pPr>
      <w:r>
        <w:rPr>
          <w:rFonts w:ascii="Noto Sans CJK SC" w:hAnsi="Noto Sans CJK SC" w:eastAsia="Noto Sans CJK SC"/>
          <w:b/>
          <w:sz w:val="21"/>
        </w:rPr>
        <w:t>要求：</w:t>
      </w:r>
      <w:r>
        <w:rPr>
          <w:rFonts w:ascii="Noto Sans CJK SC" w:hAnsi="Noto Sans CJK SC" w:eastAsia="Noto Sans CJK SC"/>
          <w:sz w:val="21"/>
        </w:rPr>
        <w:t>插件的选择、启用、停用、优先级、备用实现和运行参数必须通过 Profile 或配置完成，不得散落为硬编码条件。</w:t>
      </w:r>
    </w:p>
    <w:p>
      <w:pPr>
        <w:pStyle w:val="BodyText"/>
        <w:keepNext/>
        <w:keepLines/>
        <w:spacing w:after="40"/>
        <w:ind w:left="283"/>
      </w:pPr>
      <w:r>
        <w:rPr>
          <w:rFonts w:ascii="Noto Sans CJK SC" w:hAnsi="Noto Sans CJK SC" w:eastAsia="Noto Sans CJK SC"/>
          <w:b/>
          <w:sz w:val="21"/>
        </w:rPr>
        <w:t>目的：</w:t>
      </w:r>
      <w:r>
        <w:rPr>
          <w:rFonts w:ascii="Noto Sans CJK SC" w:hAnsi="Noto Sans CJK SC" w:eastAsia="Noto Sans CJK SC"/>
          <w:sz w:val="21"/>
        </w:rPr>
        <w:t>提高组合调整和环境迁移效率。</w:t>
      </w:r>
    </w:p>
    <w:p>
      <w:pPr>
        <w:pStyle w:val="BodyText"/>
        <w:keepLines/>
        <w:spacing w:after="80"/>
        <w:ind w:left="283"/>
      </w:pPr>
      <w:r>
        <w:rPr>
          <w:rFonts w:ascii="Noto Sans CJK SC" w:hAnsi="Noto Sans CJK SC" w:eastAsia="Noto Sans CJK SC"/>
          <w:b/>
          <w:sz w:val="21"/>
        </w:rPr>
        <w:t>验证：</w:t>
      </w:r>
      <w:r>
        <w:rPr>
          <w:rFonts w:ascii="Noto Sans CJK SC" w:hAnsi="Noto Sans CJK SC" w:eastAsia="Noto Sans CJK SC"/>
          <w:sz w:val="21"/>
        </w:rPr>
        <w:t>在不改代码的情况下切换至少两套运行 Profile。</w:t>
      </w:r>
    </w:p>
    <w:p>
      <w:pPr>
        <w:keepNext/>
        <w:spacing w:before="100" w:after="40"/>
      </w:pPr>
      <w:r>
        <w:rPr>
          <w:rFonts w:ascii="Noto Sans CJK SC" w:hAnsi="Noto Sans CJK SC" w:eastAsia="Noto Sans CJK SC"/>
          <w:b/>
          <w:color w:val="1F4E79"/>
          <w:sz w:val="22"/>
        </w:rPr>
        <w:t>AR-11  统一契约测试</w:t>
      </w:r>
    </w:p>
    <w:p>
      <w:pPr>
        <w:pStyle w:val="BodyText"/>
        <w:keepNext/>
        <w:keepLines/>
        <w:spacing w:after="40"/>
        <w:ind w:left="283"/>
      </w:pPr>
      <w:r>
        <w:rPr>
          <w:rFonts w:ascii="Noto Sans CJK SC" w:hAnsi="Noto Sans CJK SC" w:eastAsia="Noto Sans CJK SC"/>
          <w:b/>
          <w:sz w:val="21"/>
        </w:rPr>
        <w:t>要求：</w:t>
      </w:r>
      <w:r>
        <w:rPr>
          <w:rFonts w:ascii="Noto Sans CJK SC" w:hAnsi="Noto Sans CJK SC" w:eastAsia="Noto Sans CJK SC"/>
          <w:sz w:val="21"/>
        </w:rPr>
        <w:t>每类 Port 必须建立统一输入、输出、错误语义和契约测试；新插件只有通过 Schema、契约、兼容性、回归和必要的端到端测试后，方可进入正式候选池。</w:t>
      </w:r>
    </w:p>
    <w:p>
      <w:pPr>
        <w:pStyle w:val="BodyText"/>
        <w:keepNext/>
        <w:keepLines/>
        <w:spacing w:after="40"/>
        <w:ind w:left="283"/>
      </w:pPr>
      <w:r>
        <w:rPr>
          <w:rFonts w:ascii="Noto Sans CJK SC" w:hAnsi="Noto Sans CJK SC" w:eastAsia="Noto Sans CJK SC"/>
          <w:b/>
          <w:sz w:val="21"/>
        </w:rPr>
        <w:t>目的：</w:t>
      </w:r>
      <w:r>
        <w:rPr>
          <w:rFonts w:ascii="Noto Sans CJK SC" w:hAnsi="Noto Sans CJK SC" w:eastAsia="Noto Sans CJK SC"/>
          <w:sz w:val="21"/>
        </w:rPr>
        <w:t>用测试证明“可以替换”，而不是只在设计上宣称。</w:t>
      </w:r>
    </w:p>
    <w:p>
      <w:pPr>
        <w:pStyle w:val="BodyText"/>
        <w:keepLines/>
        <w:spacing w:after="80"/>
        <w:ind w:left="283"/>
      </w:pPr>
      <w:r>
        <w:rPr>
          <w:rFonts w:ascii="Noto Sans CJK SC" w:hAnsi="Noto Sans CJK SC" w:eastAsia="Noto Sans CJK SC"/>
          <w:b/>
          <w:sz w:val="21"/>
        </w:rPr>
        <w:t>验证：</w:t>
      </w:r>
      <w:r>
        <w:rPr>
          <w:rFonts w:ascii="Noto Sans CJK SC" w:hAnsi="Noto Sans CJK SC" w:eastAsia="Noto Sans CJK SC"/>
          <w:sz w:val="21"/>
        </w:rPr>
        <w:t>插件注册状态必须与测试 Evidence 绑定。</w:t>
      </w:r>
    </w:p>
    <w:p>
      <w:pPr>
        <w:keepNext/>
        <w:spacing w:before="100" w:after="40"/>
      </w:pPr>
      <w:r>
        <w:rPr>
          <w:rFonts w:ascii="Noto Sans CJK SC" w:hAnsi="Noto Sans CJK SC" w:eastAsia="Noto Sans CJK SC"/>
          <w:b/>
          <w:color w:val="1F4E79"/>
          <w:sz w:val="22"/>
        </w:rPr>
        <w:t>AR-12  权威数据保护</w:t>
      </w:r>
    </w:p>
    <w:p>
      <w:pPr>
        <w:pStyle w:val="BodyText"/>
        <w:keepNext/>
        <w:keepLines/>
        <w:spacing w:after="40"/>
        <w:ind w:left="283"/>
      </w:pPr>
      <w:r>
        <w:rPr>
          <w:rFonts w:ascii="Noto Sans CJK SC" w:hAnsi="Noto Sans CJK SC" w:eastAsia="Noto Sans CJK SC"/>
          <w:b/>
          <w:sz w:val="21"/>
        </w:rPr>
        <w:t>要求：</w:t>
      </w:r>
      <w:r>
        <w:rPr>
          <w:rFonts w:ascii="Noto Sans CJK SC" w:hAnsi="Noto Sans CJK SC" w:eastAsia="Noto Sans CJK SC"/>
          <w:sz w:val="21"/>
        </w:rPr>
        <w:t>外部插件和概率性组件不得直接修改正式 Baseline 或权威模型，只能输出 Claim、ModelPatchProposal、AnalysisResult、CodeChangeProposal 或 EvidenceCandidate，由核心确定性流程校验和批准。</w:t>
      </w:r>
    </w:p>
    <w:p>
      <w:pPr>
        <w:pStyle w:val="BodyText"/>
        <w:keepNext/>
        <w:keepLines/>
        <w:spacing w:after="40"/>
        <w:ind w:left="283"/>
      </w:pPr>
      <w:r>
        <w:rPr>
          <w:rFonts w:ascii="Noto Sans CJK SC" w:hAnsi="Noto Sans CJK SC" w:eastAsia="Noto Sans CJK SC"/>
          <w:b/>
          <w:sz w:val="21"/>
        </w:rPr>
        <w:t>目的：</w:t>
      </w:r>
      <w:r>
        <w:rPr>
          <w:rFonts w:ascii="Noto Sans CJK SC" w:hAnsi="Noto Sans CJK SC" w:eastAsia="Noto Sans CJK SC"/>
          <w:sz w:val="21"/>
        </w:rPr>
        <w:t>防止第三方故障或概率输出污染系统事实。</w:t>
      </w:r>
    </w:p>
    <w:p>
      <w:pPr>
        <w:pStyle w:val="BodyText"/>
        <w:keepLines/>
        <w:spacing w:after="80"/>
        <w:ind w:left="283"/>
      </w:pPr>
      <w:r>
        <w:rPr>
          <w:rFonts w:ascii="Noto Sans CJK SC" w:hAnsi="Noto Sans CJK SC" w:eastAsia="Noto Sans CJK SC"/>
          <w:b/>
          <w:sz w:val="21"/>
        </w:rPr>
        <w:t>验证：</w:t>
      </w:r>
      <w:r>
        <w:rPr>
          <w:rFonts w:ascii="Noto Sans CJK SC" w:hAnsi="Noto Sans CJK SC" w:eastAsia="Noto Sans CJK SC"/>
          <w:sz w:val="21"/>
        </w:rPr>
        <w:t>权限测试必须证明插件没有正式基线写权限。</w:t>
      </w:r>
    </w:p>
    <w:p>
      <w:pPr>
        <w:pStyle w:val="Heading1"/>
        <w:keepNext/>
      </w:pPr>
      <w:r>
        <w:t>5. 分层与依赖约束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推荐依赖方向如下，箭头仅表示允许的调用或依赖方向：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2F2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4"/>
              </w:rPr>
              <w:t>Interface → Application → Domain ← Ports ← Adapters / Plugins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  <w:sz w:val="21"/>
        </w:rPr>
        <w:t>约束：Domain 不得依赖框架、数据库、网络、LLM 或具体插件；Application 不得绕过 Port 直接访问 Adapter；Plugin 不得定义或修改核心领域语义。</w:t>
      </w:r>
    </w:p>
    <w:p>
      <w:pPr>
        <w:pStyle w:val="Heading1"/>
        <w:keepNext/>
      </w:pPr>
      <w:r>
        <w:t>6. 可验收判据</w:t>
      </w:r>
    </w:p>
    <w:p>
      <w:pPr>
        <w:pStyle w:val="ListBullet"/>
        <w:ind w:left="397"/>
      </w:pPr>
      <w:r>
        <w:rPr>
          <w:rFonts w:ascii="Noto Sans CJK SC" w:hAnsi="Noto Sans CJK SC" w:eastAsia="Noto Sans CJK SC"/>
          <w:sz w:val="21"/>
        </w:rPr>
        <w:t>替换一个同类型插件时，核心领域层和主应用流程代码零修改。</w:t>
      </w:r>
    </w:p>
    <w:p>
      <w:pPr>
        <w:pStyle w:val="ListBullet"/>
        <w:ind w:left="397"/>
      </w:pPr>
      <w:r>
        <w:rPr>
          <w:rFonts w:ascii="Noto Sans CJK SC" w:hAnsi="Noto Sans CJK SC" w:eastAsia="Noto Sans CJK SC"/>
          <w:sz w:val="21"/>
        </w:rPr>
        <w:t>插件切换主要通过 Profile 配置完成，必要改动仅允许位于 Adapter 或兼容层。</w:t>
      </w:r>
    </w:p>
    <w:p>
      <w:pPr>
        <w:pStyle w:val="ListBullet"/>
        <w:ind w:left="397"/>
      </w:pPr>
      <w:r>
        <w:rPr>
          <w:rFonts w:ascii="Noto Sans CJK SC" w:hAnsi="Noto Sans CJK SC" w:eastAsia="Noto Sans CJK SC"/>
          <w:sz w:val="21"/>
        </w:rPr>
        <w:t>任一插件崩溃、超时或返回非法结果时，正式 Baseline 与核心数据库保持完整。</w:t>
      </w:r>
    </w:p>
    <w:p>
      <w:pPr>
        <w:pStyle w:val="ListBullet"/>
        <w:ind w:left="397"/>
      </w:pPr>
      <w:r>
        <w:rPr>
          <w:rFonts w:ascii="Noto Sans CJK SC" w:hAnsi="Noto Sans CJK SC" w:eastAsia="Noto Sans CJK SC"/>
          <w:sz w:val="21"/>
        </w:rPr>
        <w:t>未安装可选插件时，core 仍能完成初始化和最小闭环。</w:t>
      </w:r>
    </w:p>
    <w:p>
      <w:pPr>
        <w:pStyle w:val="ListBullet"/>
        <w:ind w:left="397"/>
      </w:pPr>
      <w:r>
        <w:rPr>
          <w:rFonts w:ascii="Noto Sans CJK SC" w:hAnsi="Noto Sans CJK SC" w:eastAsia="Noto Sans CJK SC"/>
          <w:sz w:val="21"/>
        </w:rPr>
        <w:t>新增插件不得要求其他无关插件同步升级。</w:t>
      </w:r>
    </w:p>
    <w:p>
      <w:pPr>
        <w:pStyle w:val="ListBullet"/>
        <w:ind w:left="397"/>
      </w:pPr>
      <w:r>
        <w:rPr>
          <w:rFonts w:ascii="Noto Sans CJK SC" w:hAnsi="Noto Sans CJK SC" w:eastAsia="Noto Sans CJK SC"/>
          <w:sz w:val="21"/>
        </w:rPr>
        <w:t>所有跨模块依赖均可追踪到明确 Port 或公开领域对象。</w:t>
      </w:r>
    </w:p>
    <w:p>
      <w:pPr>
        <w:pStyle w:val="ListBullet"/>
        <w:ind w:left="397"/>
      </w:pPr>
      <w:r>
        <w:rPr>
          <w:rFonts w:ascii="Noto Sans CJK SC" w:hAnsi="Noto Sans CJK SC" w:eastAsia="Noto Sans CJK SC"/>
          <w:sz w:val="21"/>
        </w:rPr>
        <w:t>接口不兼容变更必须有版本迁移方案、兼容层或明确的升级门禁。</w:t>
      </w:r>
    </w:p>
    <w:p>
      <w:pPr>
        <w:pStyle w:val="ListBullet"/>
        <w:ind w:left="397"/>
      </w:pPr>
      <w:r>
        <w:rPr>
          <w:rFonts w:ascii="Noto Sans CJK SC" w:hAnsi="Noto Sans CJK SC" w:eastAsia="Noto Sans CJK SC"/>
          <w:sz w:val="21"/>
        </w:rPr>
        <w:t>每次插件升级或架构调整均自动执行契约测试和回归测试。</w:t>
      </w:r>
    </w:p>
    <w:p>
      <w:pPr>
        <w:pStyle w:val="Heading1"/>
        <w:keepNext/>
      </w:pPr>
      <w:r>
        <w:t>7. 最终无歧义表述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D9EAD3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74E13"/>
                <w:sz w:val="22"/>
              </w:rPr>
              <w:t>RFLP-Lite 必须采用低耦合、高内聚、分层化、模块化、面向接口和依赖倒置的可演化架构。系统中的外部工具和可变技术实现必须以插件和适配器形式接入，并支持配置化替换。任何单个模块、插件或局部架构的修改、升级、替换或故障，都应尽量将影响限制在局部范围内，不得造成无关模块大范围修改、权威数据损坏或整个系统不可运行。</w:t>
            </w:r>
          </w:p>
        </w:tc>
      </w:tr>
    </w:tbl>
    <w:p>
      <w:pPr>
        <w:pStyle w:val="Heading1"/>
        <w:keepNext/>
      </w:pPr>
      <w:r>
        <w:t>8. 与“轻量化”的关系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“轻量化”可以作为安装和资源方面的辅助目标，但不是本文件要求的核心。核心目标是可修改性、可维护性、可替换性和演化能力。系统可以在功能上较完整，只要模块边界清晰、依赖稳定、变化可局部化，即满足本要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7"/>
      </w:rPr>
      <w:t>RFLP-Lite 架构约束补充文件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9595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RFLP-Lite 架构可修改性与插件化非功能需求</dc:title>
  <dc:subject>低耦合、高内聚、可插拔、可替换、易演化架构约束</dc:subject>
  <dc:creator>RFLP-Lite 项目组</dc:creator>
  <cp:keywords>RFLP-Lite, 可修改性, 可替换性, 可插拔性, 低耦合, 高内聚, 插件架构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