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4C8A5">
      <w:pPr>
        <w:pStyle w:val="31"/>
        <w:jc w:val="left"/>
        <w:rPr>
          <w:rFonts w:hint="eastAsia" w:ascii="微软雅黑" w:hAnsi="微软雅黑" w:eastAsia="微软雅黑" w:cs="微软雅黑"/>
        </w:rPr>
      </w:pPr>
      <w:r>
        <w:t>From ElizaOS to AO: Practical Architecture Notes for C.AI / A.AI</w:t>
      </w:r>
    </w:p>
    <w:p w14:paraId="28554C88">
      <w:pPr>
        <w:pBdr>
          <w:bottom w:val="single" w:color="D6DEE8" w:sz="8" w:space="1"/>
        </w:pBdr>
        <w:spacing w:before="0" w:after="8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</w:rPr>
        <w:t xml:space="preserve"> </w:t>
      </w:r>
    </w:p>
    <w:tbl>
      <w:tblPr>
        <w:tblStyle w:val="32"/>
        <w:tblW w:w="0" w:type="auto"/>
        <w:jc w:val="center"/>
        <w:tblBorders>
          <w:top w:val="single" w:color="C7D4E4" w:sz="10" w:space="0"/>
          <w:left w:val="single" w:color="C7D4E4" w:sz="10" w:space="0"/>
          <w:bottom w:val="single" w:color="C7D4E4" w:sz="10" w:space="0"/>
          <w:right w:val="single" w:color="C7D4E4" w:sz="10" w:space="0"/>
          <w:insideH w:val="single" w:color="C7D4E4" w:sz="10" w:space="0"/>
          <w:insideV w:val="single" w:color="C7D4E4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36AB024">
        <w:tblPrEx>
          <w:tblBorders>
            <w:top w:val="single" w:color="C7D4E4" w:sz="10" w:space="0"/>
            <w:left w:val="single" w:color="C7D4E4" w:sz="10" w:space="0"/>
            <w:bottom w:val="single" w:color="C7D4E4" w:sz="10" w:space="0"/>
            <w:right w:val="single" w:color="C7D4E4" w:sz="10" w:space="0"/>
            <w:insideH w:val="single" w:color="C7D4E4" w:sz="10" w:space="0"/>
            <w:insideV w:val="single" w:color="C7D4E4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F3F7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72D7F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7324D"/>
                <w:sz w:val="20"/>
              </w:rPr>
              <w:t>Bottom line: ElizaOS already provides most of the software substrate AO needs for a modular C.AI / A.AI stack - character shells, composable abilities, memory/RAG, multi-agent coordination, and background workers. AO’s real differentiation should sit above that substrate: a deterministic Director AI, biometric-state routing, cost/latency gating, and DePIN-aware orchestration.</w:t>
            </w:r>
          </w:p>
        </w:tc>
      </w:tr>
    </w:tbl>
    <w:p w14:paraId="15B8F1D2">
      <w:pPr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Borders>
          <w:top w:val="single" w:color="D2D9E2" w:sz="8" w:space="0"/>
          <w:left w:val="single" w:color="D2D9E2" w:sz="8" w:space="0"/>
          <w:bottom w:val="single" w:color="D2D9E2" w:sz="8" w:space="0"/>
          <w:right w:val="single" w:color="D2D9E2" w:sz="8" w:space="0"/>
          <w:insideH w:val="single" w:color="D2D9E2" w:sz="8" w:space="0"/>
          <w:insideV w:val="single" w:color="D2D9E2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2088"/>
        <w:gridCol w:w="6624"/>
      </w:tblGrid>
      <w:tr w14:paraId="1E96BD4F">
        <w:tblPrEx>
          <w:tblBorders>
            <w:top w:val="single" w:color="D2D9E2" w:sz="8" w:space="0"/>
            <w:left w:val="single" w:color="D2D9E2" w:sz="8" w:space="0"/>
            <w:bottom w:val="single" w:color="D2D9E2" w:sz="8" w:space="0"/>
            <w:right w:val="single" w:color="D2D9E2" w:sz="8" w:space="0"/>
            <w:insideH w:val="single" w:color="D2D9E2" w:sz="8" w:space="0"/>
            <w:insideV w:val="single" w:color="D2D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tblHeader/>
          <w:jc w:val="center"/>
        </w:trPr>
        <w:tc>
          <w:tcPr>
            <w:tcW w:w="3389" w:type="dxa"/>
            <w:shd w:val="clear" w:color="auto" w:fill="DDE7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583F7A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7324D"/>
                <w:sz w:val="18"/>
              </w:rPr>
              <w:t>ElizaOS primitive</w:t>
            </w:r>
          </w:p>
        </w:tc>
        <w:tc>
          <w:tcPr>
            <w:tcW w:w="3389" w:type="dxa"/>
            <w:shd w:val="clear" w:color="auto" w:fill="DDE7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D7A04B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7324D"/>
                <w:sz w:val="18"/>
              </w:rPr>
              <w:t>AO mapping</w:t>
            </w:r>
          </w:p>
        </w:tc>
        <w:tc>
          <w:tcPr>
            <w:tcW w:w="3389" w:type="dxa"/>
            <w:shd w:val="clear" w:color="auto" w:fill="DDE7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990E70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7324D"/>
                <w:sz w:val="18"/>
              </w:rPr>
              <w:t>Why it matters</w:t>
            </w:r>
          </w:p>
        </w:tc>
      </w:tr>
      <w:tr w14:paraId="728E3C68">
        <w:tblPrEx>
          <w:tblBorders>
            <w:top w:val="single" w:color="D2D9E2" w:sz="8" w:space="0"/>
            <w:left w:val="single" w:color="D2D9E2" w:sz="8" w:space="0"/>
            <w:bottom w:val="single" w:color="D2D9E2" w:sz="8" w:space="0"/>
            <w:right w:val="single" w:color="D2D9E2" w:sz="8" w:space="0"/>
            <w:insideH w:val="single" w:color="D2D9E2" w:sz="8" w:space="0"/>
            <w:insideV w:val="single" w:color="D2D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3DE77">
            <w:pPr>
              <w:spacing w:before="0" w:after="0" w:line="25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7324D"/>
                <w:sz w:val="17"/>
              </w:rPr>
              <w:t>Character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74261">
            <w:pPr>
              <w:spacing w:before="0" w:after="0" w:line="25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7324D"/>
                <w:sz w:val="17"/>
              </w:rPr>
              <w:t>C.AI shell</w:t>
            </w:r>
          </w:p>
        </w:tc>
        <w:tc>
          <w:tcPr>
            <w:tcW w:w="66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3A288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F3B4A"/>
                <w:sz w:val="16"/>
              </w:rPr>
              <w:t>ElizaOS treats Character as the static blueprint (personality, knowledge, style), while Agent is the live runtime instance. This maps cleanly to AO’s Character-first layer.</w:t>
            </w:r>
          </w:p>
        </w:tc>
      </w:tr>
      <w:tr w14:paraId="3FB9BAD4">
        <w:tblPrEx>
          <w:tblBorders>
            <w:top w:val="single" w:color="D2D9E2" w:sz="8" w:space="0"/>
            <w:left w:val="single" w:color="D2D9E2" w:sz="8" w:space="0"/>
            <w:bottom w:val="single" w:color="D2D9E2" w:sz="8" w:space="0"/>
            <w:right w:val="single" w:color="D2D9E2" w:sz="8" w:space="0"/>
            <w:insideH w:val="single" w:color="D2D9E2" w:sz="8" w:space="0"/>
            <w:insideV w:val="single" w:color="D2D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BACBA">
            <w:pPr>
              <w:spacing w:before="0" w:after="0" w:line="25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7324D"/>
                <w:sz w:val="17"/>
              </w:rPr>
              <w:t>Actions / Plugins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47D01">
            <w:pPr>
              <w:spacing w:before="0" w:after="0" w:line="25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7324D"/>
                <w:sz w:val="17"/>
              </w:rPr>
              <w:t>A.AI abilities</w:t>
            </w:r>
          </w:p>
        </w:tc>
        <w:tc>
          <w:tcPr>
            <w:tcW w:w="66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F1AC8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F3B4A"/>
                <w:sz w:val="16"/>
              </w:rPr>
              <w:t>Abilities should not live inside the persona prompt. They should be plug-in capabilities that can be attached, swapped, versioned, and audited independently.</w:t>
            </w:r>
          </w:p>
        </w:tc>
      </w:tr>
      <w:tr w14:paraId="47DCAC90">
        <w:tblPrEx>
          <w:tblBorders>
            <w:top w:val="single" w:color="D2D9E2" w:sz="8" w:space="0"/>
            <w:left w:val="single" w:color="D2D9E2" w:sz="8" w:space="0"/>
            <w:bottom w:val="single" w:color="D2D9E2" w:sz="8" w:space="0"/>
            <w:right w:val="single" w:color="D2D9E2" w:sz="8" w:space="0"/>
            <w:insideH w:val="single" w:color="D2D9E2" w:sz="8" w:space="0"/>
            <w:insideV w:val="single" w:color="D2D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B4B1AE">
            <w:pPr>
              <w:spacing w:before="0" w:after="0" w:line="25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7324D"/>
                <w:sz w:val="17"/>
              </w:rPr>
              <w:t>Providers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A3190">
            <w:pPr>
              <w:spacing w:before="0" w:after="0" w:line="25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7324D"/>
                <w:sz w:val="17"/>
              </w:rPr>
              <w:t>Context plane</w:t>
            </w:r>
          </w:p>
        </w:tc>
        <w:tc>
          <w:tcPr>
            <w:tcW w:w="66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38207D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F3B4A"/>
                <w:sz w:val="16"/>
              </w:rPr>
              <w:t>Providers are the best conceptual match for AO’s user state, conversation history, device signals, biometric signals, and market/app context.</w:t>
            </w:r>
          </w:p>
        </w:tc>
      </w:tr>
      <w:tr w14:paraId="2DDA6DD7">
        <w:tblPrEx>
          <w:tblBorders>
            <w:top w:val="single" w:color="D2D9E2" w:sz="8" w:space="0"/>
            <w:left w:val="single" w:color="D2D9E2" w:sz="8" w:space="0"/>
            <w:bottom w:val="single" w:color="D2D9E2" w:sz="8" w:space="0"/>
            <w:right w:val="single" w:color="D2D9E2" w:sz="8" w:space="0"/>
            <w:insideH w:val="single" w:color="D2D9E2" w:sz="8" w:space="0"/>
            <w:insideV w:val="single" w:color="D2D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722B1">
            <w:pPr>
              <w:spacing w:before="0" w:after="0" w:line="25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7324D"/>
                <w:sz w:val="17"/>
              </w:rPr>
              <w:t>Evaluators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A5C08">
            <w:pPr>
              <w:spacing w:before="0" w:after="0" w:line="25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7324D"/>
                <w:sz w:val="17"/>
              </w:rPr>
              <w:t>Post-response learning</w:t>
            </w:r>
          </w:p>
        </w:tc>
        <w:tc>
          <w:tcPr>
            <w:tcW w:w="66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79C12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F3B4A"/>
                <w:sz w:val="16"/>
              </w:rPr>
              <w:t>Evaluators are useful for extracting structured signals after a reply: preference updates, memory writes, quality labels, safety flags, and outcome tracking.</w:t>
            </w:r>
          </w:p>
        </w:tc>
      </w:tr>
      <w:tr w14:paraId="23192422">
        <w:tblPrEx>
          <w:tblBorders>
            <w:top w:val="single" w:color="D2D9E2" w:sz="8" w:space="0"/>
            <w:left w:val="single" w:color="D2D9E2" w:sz="8" w:space="0"/>
            <w:bottom w:val="single" w:color="D2D9E2" w:sz="8" w:space="0"/>
            <w:right w:val="single" w:color="D2D9E2" w:sz="8" w:space="0"/>
            <w:insideH w:val="single" w:color="D2D9E2" w:sz="8" w:space="0"/>
            <w:insideV w:val="single" w:color="D2D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FC457">
            <w:pPr>
              <w:spacing w:before="0" w:after="0" w:line="25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7324D"/>
                <w:sz w:val="17"/>
              </w:rPr>
              <w:t>Services / Task workers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50B19">
            <w:pPr>
              <w:spacing w:before="0" w:after="0" w:line="25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7324D"/>
                <w:sz w:val="17"/>
              </w:rPr>
              <w:t>Long-running jobs</w:t>
            </w:r>
          </w:p>
        </w:tc>
        <w:tc>
          <w:tcPr>
            <w:tcW w:w="66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50E74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F3B4A"/>
                <w:sz w:val="16"/>
              </w:rPr>
              <w:t>AO can use this pattern for sync, retraining triggers, health monitoring, scheduled nudges, or DePIN node maintenance without blocking real-time chat.</w:t>
            </w:r>
          </w:p>
        </w:tc>
      </w:tr>
      <w:tr w14:paraId="5C6FF404">
        <w:tblPrEx>
          <w:tblBorders>
            <w:top w:val="single" w:color="D2D9E2" w:sz="8" w:space="0"/>
            <w:left w:val="single" w:color="D2D9E2" w:sz="8" w:space="0"/>
            <w:bottom w:val="single" w:color="D2D9E2" w:sz="8" w:space="0"/>
            <w:right w:val="single" w:color="D2D9E2" w:sz="8" w:space="0"/>
            <w:insideH w:val="single" w:color="D2D9E2" w:sz="8" w:space="0"/>
            <w:insideV w:val="single" w:color="D2D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D9156">
            <w:pPr>
              <w:spacing w:before="0" w:after="0" w:line="25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7324D"/>
                <w:sz w:val="17"/>
              </w:rPr>
              <w:t>ActionPlan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256E6B">
            <w:pPr>
              <w:spacing w:before="0" w:after="0" w:line="25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7324D"/>
                <w:sz w:val="17"/>
              </w:rPr>
              <w:t>Ability workflow engine</w:t>
            </w:r>
          </w:p>
        </w:tc>
        <w:tc>
          <w:tcPr>
            <w:tcW w:w="66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83CB3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F3B4A"/>
                <w:sz w:val="16"/>
              </w:rPr>
              <w:t>ElizaOS already supports stepwise action chaining. AO can reuse this idea for multi-step execution, but keep the higher-level routing deterministic.</w:t>
            </w:r>
          </w:p>
        </w:tc>
      </w:tr>
      <w:tr w14:paraId="6F0EE1C7">
        <w:tblPrEx>
          <w:tblBorders>
            <w:top w:val="single" w:color="D2D9E2" w:sz="8" w:space="0"/>
            <w:left w:val="single" w:color="D2D9E2" w:sz="8" w:space="0"/>
            <w:bottom w:val="single" w:color="D2D9E2" w:sz="8" w:space="0"/>
            <w:right w:val="single" w:color="D2D9E2" w:sz="8" w:space="0"/>
            <w:insideH w:val="single" w:color="D2D9E2" w:sz="8" w:space="0"/>
            <w:insideV w:val="single" w:color="D2D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9FBE2">
            <w:pPr>
              <w:spacing w:before="0" w:after="0" w:line="25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7324D"/>
                <w:sz w:val="17"/>
              </w:rPr>
              <w:t>Knowledge plugin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907DD">
            <w:pPr>
              <w:spacing w:before="0" w:after="0" w:line="25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7324D"/>
                <w:sz w:val="17"/>
              </w:rPr>
              <w:t>RAG ability modules</w:t>
            </w:r>
          </w:p>
        </w:tc>
        <w:tc>
          <w:tcPr>
            <w:tcW w:w="66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19A41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F3B4A"/>
                <w:sz w:val="16"/>
              </w:rPr>
              <w:t>Knowledge is treated as ingestible, bounded retrieval rather than stuffing everything into prompt text. This is useful for domain skills and coach modules.</w:t>
            </w:r>
          </w:p>
        </w:tc>
      </w:tr>
      <w:tr w14:paraId="30009E10">
        <w:tblPrEx>
          <w:tblBorders>
            <w:top w:val="single" w:color="D2D9E2" w:sz="8" w:space="0"/>
            <w:left w:val="single" w:color="D2D9E2" w:sz="8" w:space="0"/>
            <w:bottom w:val="single" w:color="D2D9E2" w:sz="8" w:space="0"/>
            <w:right w:val="single" w:color="D2D9E2" w:sz="8" w:space="0"/>
            <w:insideH w:val="single" w:color="D2D9E2" w:sz="8" w:space="0"/>
            <w:insideV w:val="single" w:color="D2D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1E052">
            <w:pPr>
              <w:spacing w:before="0" w:after="0" w:line="25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7324D"/>
                <w:sz w:val="17"/>
              </w:rPr>
              <w:t>Multi-agent project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4644F5">
            <w:pPr>
              <w:spacing w:before="0" w:after="0" w:line="25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7324D"/>
                <w:sz w:val="17"/>
              </w:rPr>
              <w:t>Mode-B / specialist team</w:t>
            </w:r>
          </w:p>
        </w:tc>
        <w:tc>
          <w:tcPr>
            <w:tcW w:w="66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5E413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F3B4A"/>
                <w:sz w:val="16"/>
              </w:rPr>
              <w:t>ElizaOS can run multiple specialized agents together. AO can adapt this for consensus or specialist ensembles under Director control.</w:t>
            </w:r>
          </w:p>
        </w:tc>
      </w:tr>
    </w:tbl>
    <w:p w14:paraId="3221C766">
      <w:pPr>
        <w:rPr>
          <w:rFonts w:hint="eastAsia" w:ascii="微软雅黑" w:hAnsi="微软雅黑" w:eastAsia="微软雅黑" w:cs="微软雅黑"/>
        </w:rPr>
      </w:pPr>
    </w:p>
    <w:p w14:paraId="1CB5F5BD">
      <w:pPr>
        <w:spacing w:before="80" w:after="60" w:line="276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What AO can borrow from ElizaOS</w:t>
      </w:r>
    </w:p>
    <w:p w14:paraId="32BE65B6">
      <w:pPr>
        <w:spacing w:before="0" w:after="20" w:line="259" w:lineRule="auto"/>
        <w:ind w:left="230" w:hanging="18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Keep a clean two-layer model: Character handles tone and persona; Ability packages actions, providers, evaluators, and services.</w:t>
      </w:r>
    </w:p>
    <w:p w14:paraId="718881FE">
      <w:pPr>
        <w:spacing w:before="0" w:after="20" w:line="259" w:lineRule="auto"/>
        <w:ind w:left="230" w:hanging="18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Put AO's Director AI above the Eliza-style runtime. Eliza is great for capability composition, but AO still benefits from a deterministic router/FSM for safety and repeatability.</w:t>
      </w:r>
    </w:p>
    <w:p w14:paraId="2E46AE97">
      <w:pPr>
        <w:spacing w:before="0" w:after="20" w:line="259" w:lineRule="auto"/>
        <w:ind w:left="230" w:hanging="18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Translate biometric and device signals into structured Providers instead of dumping raw signals into prompts. That keeps context modular and easier to test.</w:t>
      </w:r>
    </w:p>
    <w:p w14:paraId="072465DA">
      <w:pPr>
        <w:spacing w:before="0" w:after="20" w:line="259" w:lineRule="auto"/>
        <w:ind w:left="230" w:hanging="18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Use Evaluators to write back structured learning: user preferences, satisfaction signals, episode summaries, trust signals, and DePIN cost/performance traces.</w:t>
      </w:r>
    </w:p>
    <w:p w14:paraId="3245EC48">
      <w:pPr>
        <w:spacing w:before="0" w:after="20" w:line="259" w:lineRule="auto"/>
        <w:ind w:left="230" w:hanging="18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Treat each coach or domain as a bounded ability pack: prompt templates, tools, knowledge base, memory policy, and output constraints.</w:t>
      </w:r>
    </w:p>
    <w:p w14:paraId="53A4E719">
      <w:pPr>
        <w:spacing w:before="0" w:after="20" w:line="259" w:lineRule="auto"/>
        <w:ind w:left="230" w:hanging="18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Offload slow work to background workers (sync, memory compaction, re-ranking, scheduled outreach, node scoring, retraining triggers).</w:t>
      </w:r>
    </w:p>
    <w:p w14:paraId="270D0C52">
      <w:pPr>
        <w:spacing w:before="80" w:after="60" w:line="276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What AO should avoid copying directly</w:t>
      </w:r>
    </w:p>
    <w:p w14:paraId="7969EEEC">
      <w:pPr>
        <w:spacing w:before="0" w:after="20" w:line="259" w:lineRule="auto"/>
        <w:ind w:left="230" w:hanging="18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Don't let free-form LLM planning control user-critical routing. Director decisions should stay explicit, inspectable, and policy-driven.</w:t>
      </w:r>
    </w:p>
    <w:p w14:paraId="64F3A274">
      <w:pPr>
        <w:spacing w:before="0" w:after="20" w:line="259" w:lineRule="auto"/>
        <w:ind w:left="230" w:hanging="18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Don't collapse all memory into one bucket. Keep persona memory, user memory, biometric state, and task state separate.</w:t>
      </w:r>
    </w:p>
    <w:p w14:paraId="4044D10E">
      <w:pPr>
        <w:spacing w:before="0" w:after="20" w:line="259" w:lineRule="auto"/>
        <w:ind w:left="230" w:hanging="18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Don't import plugin sprawl as-is. AO needs a curated ability registry with latency, cost, safety, and trust metadata.</w:t>
      </w:r>
    </w:p>
    <w:p w14:paraId="35F330B0">
      <w:pPr>
        <w:spacing w:before="80" w:after="60" w:line="276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Suggested rollout order: (1) Ability registry + metadata, (2) structured providers for device/biometric input, (3) evaluator-driven memory writes, (4) deterministic Director routing gates, (5) background workers for long-running tasks.</w:t>
      </w:r>
    </w:p>
    <w:tbl>
      <w:tblPr>
        <w:tblStyle w:val="32"/>
        <w:tblW w:w="0" w:type="auto"/>
        <w:jc w:val="center"/>
        <w:tblBorders>
          <w:top w:val="single" w:color="D2D9E2" w:sz="8" w:space="0"/>
          <w:left w:val="single" w:color="D2D9E2" w:sz="8" w:space="0"/>
          <w:bottom w:val="single" w:color="D2D9E2" w:sz="8" w:space="0"/>
          <w:right w:val="single" w:color="D2D9E2" w:sz="8" w:space="0"/>
          <w:insideH w:val="single" w:color="D2D9E2" w:sz="8" w:space="0"/>
          <w:insideV w:val="single" w:color="D2D9E2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8352"/>
      </w:tblGrid>
      <w:tr w14:paraId="07126FAC">
        <w:tblPrEx>
          <w:tblBorders>
            <w:top w:val="single" w:color="D2D9E2" w:sz="8" w:space="0"/>
            <w:left w:val="single" w:color="D2D9E2" w:sz="8" w:space="0"/>
            <w:bottom w:val="single" w:color="D2D9E2" w:sz="8" w:space="0"/>
            <w:right w:val="single" w:color="D2D9E2" w:sz="8" w:space="0"/>
            <w:insideH w:val="single" w:color="D2D9E2" w:sz="8" w:space="0"/>
            <w:insideV w:val="single" w:color="D2D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083" w:type="dxa"/>
            <w:shd w:val="clear" w:color="auto" w:fill="EAF0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FAB58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7324D"/>
                <w:sz w:val="17"/>
              </w:rPr>
              <w:t>Phase</w:t>
            </w:r>
          </w:p>
        </w:tc>
        <w:tc>
          <w:tcPr>
            <w:tcW w:w="5083" w:type="dxa"/>
            <w:shd w:val="clear" w:color="auto" w:fill="EAF0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34533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7324D"/>
                <w:sz w:val="17"/>
              </w:rPr>
              <w:t>Recommendation</w:t>
            </w:r>
          </w:p>
        </w:tc>
      </w:tr>
      <w:tr w14:paraId="635940BF">
        <w:tblPrEx>
          <w:tblBorders>
            <w:top w:val="single" w:color="D2D9E2" w:sz="8" w:space="0"/>
            <w:left w:val="single" w:color="D2D9E2" w:sz="8" w:space="0"/>
            <w:bottom w:val="single" w:color="D2D9E2" w:sz="8" w:space="0"/>
            <w:right w:val="single" w:color="D2D9E2" w:sz="8" w:space="0"/>
            <w:insideH w:val="single" w:color="D2D9E2" w:sz="8" w:space="0"/>
            <w:insideV w:val="single" w:color="D2D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51C6F">
            <w:pPr>
              <w:spacing w:before="0" w:after="0" w:line="25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7324D"/>
                <w:sz w:val="17"/>
              </w:rPr>
              <w:t>P1 - Core substrate</w:t>
            </w:r>
          </w:p>
        </w:tc>
        <w:tc>
          <w:tcPr>
            <w:tcW w:w="83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3EFB3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F3B4A"/>
                <w:sz w:val="17"/>
              </w:rPr>
              <w:t>Implement Character schema, Ability plugin schema, Provider/Evaluator interfaces, and runtime lifecycle first.</w:t>
            </w:r>
          </w:p>
        </w:tc>
      </w:tr>
      <w:tr w14:paraId="24FC2DB4">
        <w:tblPrEx>
          <w:tblBorders>
            <w:top w:val="single" w:color="D2D9E2" w:sz="8" w:space="0"/>
            <w:left w:val="single" w:color="D2D9E2" w:sz="8" w:space="0"/>
            <w:bottom w:val="single" w:color="D2D9E2" w:sz="8" w:space="0"/>
            <w:right w:val="single" w:color="D2D9E2" w:sz="8" w:space="0"/>
            <w:insideH w:val="single" w:color="D2D9E2" w:sz="8" w:space="0"/>
            <w:insideV w:val="single" w:color="D2D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B1661A">
            <w:pPr>
              <w:spacing w:before="0" w:after="0" w:line="25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7324D"/>
                <w:sz w:val="17"/>
              </w:rPr>
              <w:t>P2 - AO differentiator</w:t>
            </w:r>
          </w:p>
        </w:tc>
        <w:tc>
          <w:tcPr>
            <w:tcW w:w="83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B9404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F3B4A"/>
                <w:sz w:val="17"/>
              </w:rPr>
              <w:t>Add Director AI / FSM routing, biometric Providers, Lazy-Signal style inference gating, and user-preference weighting.</w:t>
            </w:r>
          </w:p>
        </w:tc>
      </w:tr>
      <w:tr w14:paraId="4919BF36">
        <w:tblPrEx>
          <w:tblBorders>
            <w:top w:val="single" w:color="D2D9E2" w:sz="8" w:space="0"/>
            <w:left w:val="single" w:color="D2D9E2" w:sz="8" w:space="0"/>
            <w:bottom w:val="single" w:color="D2D9E2" w:sz="8" w:space="0"/>
            <w:right w:val="single" w:color="D2D9E2" w:sz="8" w:space="0"/>
            <w:insideH w:val="single" w:color="D2D9E2" w:sz="8" w:space="0"/>
            <w:insideV w:val="single" w:color="D2D9E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865B1">
            <w:pPr>
              <w:spacing w:before="0" w:after="0" w:line="259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7324D"/>
                <w:sz w:val="17"/>
              </w:rPr>
              <w:t>P3 - Ecosystem layer</w:t>
            </w:r>
          </w:p>
        </w:tc>
        <w:tc>
          <w:tcPr>
            <w:tcW w:w="83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92976">
            <w:pPr>
              <w:spacing w:before="0" w:after="0" w:line="259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F3B4A"/>
                <w:sz w:val="17"/>
              </w:rPr>
              <w:t>Add ability marketplace, DePIN/node-aware execution, and multi-agent consensus modes once the base control plane is stable.</w:t>
            </w:r>
          </w:p>
        </w:tc>
      </w:tr>
    </w:tbl>
    <w:p w14:paraId="08966957">
      <w:pPr>
        <w:rPr>
          <w:rFonts w:hint="eastAsia" w:ascii="微软雅黑" w:hAnsi="微软雅黑" w:eastAsia="微软雅黑" w:cs="微软雅黑"/>
        </w:rPr>
      </w:pPr>
    </w:p>
    <w:p w14:paraId="0B3BD405">
      <w:pPr>
        <w:spacing w:before="80" w:after="40" w:line="276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Reference basis</w:t>
      </w:r>
    </w:p>
    <w:p w14:paraId="3CCFE8E4">
      <w:pPr>
        <w:pStyle w:val="164"/>
        <w:spacing w:after="20"/>
        <w:ind w:left="259" w:hanging="17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ElizaOS docs/repo reviewed on 2026-03-19: architecture overview, character interface, runtime internals, plugin system, memory/state model, multi-agent guide, action planning, knowledge plugin, and background tasks.</w:t>
      </w:r>
    </w:p>
    <w:p w14:paraId="066244FB">
      <w:pPr>
        <w:pStyle w:val="164"/>
        <w:spacing w:after="20"/>
        <w:ind w:left="259" w:hanging="17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AO alignment inputs: AO White Paper Vol.0.6 and ORCH&amp;AO memo.</w:t>
      </w:r>
    </w:p>
    <w:sectPr>
      <w:footerReference r:id="rId5" w:type="default"/>
      <w:pgSz w:w="12240" w:h="15840"/>
      <w:pgMar w:top="864" w:right="1037" w:bottom="792" w:left="1037" w:header="360" w:footer="36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2505DC">
    <w:pPr>
      <w:pStyle w:val="24"/>
      <w:jc w:val="right"/>
    </w:pPr>
    <w:r>
      <w:rPr>
        <w:rFonts w:ascii="Aptos" w:hAnsi="Aptos" w:eastAsia="微软雅黑"/>
        <w:color w:val="7A8796"/>
        <w:sz w:val="15"/>
      </w:rPr>
      <w:t>Prepared for AO internal review - 2026-03-19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67200B"/>
    <w:rsid w:val="2A585A8F"/>
    <w:rsid w:val="5F2871EB"/>
    <w:rsid w:val="7D55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Aptos" w:hAnsi="Aptos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24D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ustomSmall"/>
    <w:basedOn w:val="1"/>
    <w:qFormat/>
    <w:uiPriority w:val="0"/>
    <w:rPr>
      <w:rFonts w:ascii="Aptos" w:hAnsi="Aptos" w:eastAsia="微软雅黑"/>
      <w:color w:val="5A6675"/>
      <w:sz w:val="16"/>
    </w:rPr>
  </w:style>
  <w:style w:type="paragraph" w:customStyle="1" w:styleId="165">
    <w:name w:val="Callout"/>
    <w:basedOn w:val="1"/>
    <w:qFormat/>
    <w:uiPriority w:val="0"/>
    <w:rPr>
      <w:rFonts w:ascii="Aptos" w:hAnsi="Aptos" w:eastAsia="微软雅黑"/>
      <w:color w:val="17324D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595</Words>
  <Characters>3718</Characters>
  <Lines>0</Lines>
  <Paragraphs>0</Paragraphs>
  <TotalTime>1</TotalTime>
  <ScaleCrop>false</ScaleCrop>
  <LinksUpToDate>false</LinksUpToDate>
  <CharactersWithSpaces>4256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冥冥昨日</cp:lastModifiedBy>
  <dcterms:modified xsi:type="dcterms:W3CDTF">2026-03-19T06:40:16Z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eyJoZGlkIjoiNTEwYTY3MTJjMTRmNmYwNTIxYWMzMTFiMzk4ZTQ2MWUiLCJ1c2VySWQiOiIyNjgxMDE1NDEifQ==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623AA08C7833483BAAC408A46F22F3EC_12</vt:lpwstr>
  </property>
</Properties>
</file>