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PageParamVO </w:t>
      </w:r>
      <w:r>
        <w:rPr>
          <w:rFonts w:hint="eastAsia"/>
          <w:lang w:val="en-US" w:eastAsia="zh-CN"/>
        </w:rPr>
        <w:t>分页请求</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pageSize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pageIdx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totalPage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pageSize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pwd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密码</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拥有哪些系统功能权限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hiddenFileds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,int pageSize,int pageIdx</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“lst”:[ { UserVO }],</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“totalPage”:10,</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“pageSize”:20</w:t>
            </w:r>
          </w:p>
          <w:p>
            <w:pPr>
              <w:ind w:firstLine="210" w:firstLineChars="1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user,PageParamVO pg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ind w:firstLine="210" w:firstLineChars="100"/>
              <w:rPr>
                <w:rFonts w:hint="default" w:ascii="Calibri" w:hAnsi="Calibri" w:eastAsia="宋体" w:cs="Calibri"/>
                <w:color w:val="000000"/>
                <w:kern w:val="0"/>
                <w:sz w:val="21"/>
                <w:szCs w:val="21"/>
                <w:lang w:val="en-US"/>
              </w:rPr>
            </w:pPr>
            <w:r>
              <w:rPr>
                <w:rFonts w:hint="default"/>
                <w:lang w:val="en-US" w:eastAsia="zh-CN"/>
              </w:rPr>
              <w:t xml:space="preserve">  “data”: </w:t>
            </w:r>
            <w:r>
              <w:rPr>
                <w:rFonts w:hint="default" w:ascii="Calibri" w:hAnsi="Calibri" w:eastAsia="宋体" w:cs="Calibri"/>
                <w:color w:val="000000"/>
                <w:kern w:val="0"/>
                <w:sz w:val="21"/>
                <w:szCs w:val="21"/>
                <w:lang w:val="en-US"/>
              </w:rPr>
              <w:t>{ PageResult&lt;UserVO&gt; }</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eastAsia"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ind w:firstLine="210" w:firstLineChars="100"/>
              <w:rPr>
                <w:rFonts w:hint="default"/>
                <w:lang w:val="en-US" w:eastAsia="zh-CN"/>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lang w:val="en-US" w:eastAsia="zh-CN"/>
              </w:rPr>
              <w:t>}</w:t>
            </w:r>
          </w:p>
          <w:p>
            <w:pPr>
              <w:rPr>
                <w:rFonts w:hint="eastAsia" w:ascii="Calibri" w:hAnsi="Calibri" w:eastAsia="宋体" w:cs="Calibri"/>
                <w:color w:val="000000"/>
                <w:kern w:val="0"/>
                <w:sz w:val="21"/>
                <w:szCs w:val="21"/>
                <w:lang w:val="en-US" w:eastAsia="zh-CN"/>
              </w:rPr>
            </w:pPr>
          </w:p>
        </w:tc>
        <w:tc>
          <w:tcPr>
            <w:tcW w:w="3663" w:type="dxa"/>
          </w:tcPr>
          <w:p>
            <w:pPr>
              <w:rPr>
                <w:rFonts w:hint="eastAsia" w:eastAsiaTheme="minorEastAsia"/>
                <w:vertAlign w:val="baseline"/>
                <w:lang w:val="en-US" w:eastAsia="zh-CN"/>
              </w:rPr>
            </w:pPr>
            <w:r>
              <w:rPr>
                <w:rFonts w:hint="default"/>
                <w:vertAlign w:val="baseline"/>
                <w:lang w:val="en-US" w:eastAsia="zh-CN"/>
              </w:rPr>
              <w:t>code=1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code=0,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“data”:null</w:t>
            </w:r>
          </w:p>
          <w:p>
            <w:pPr>
              <w:rPr>
                <w:rFonts w:hint="eastAsia" w:ascii="Calibri" w:hAnsi="Calibri" w:eastAsia="宋体" w:cs="Calibri"/>
                <w:color w:val="000000"/>
                <w:kern w:val="0"/>
                <w:sz w:val="21"/>
                <w:szCs w:val="21"/>
                <w:lang w:val="en-US" w:eastAsia="zh-CN"/>
              </w:rPr>
            </w:pPr>
            <w:r>
              <w:rPr>
                <w:rFonts w:hint="default"/>
                <w:lang w:val="en-US" w:eastAsia="zh-CN"/>
              </w:rPr>
              <w:t>}</w:t>
            </w:r>
          </w:p>
        </w:tc>
        <w:tc>
          <w:tcPr>
            <w:tcW w:w="3663" w:type="dxa"/>
          </w:tcPr>
          <w:p>
            <w:pPr>
              <w:rPr>
                <w:rFonts w:hint="default"/>
                <w:vertAlign w:val="baseline"/>
                <w:lang w:val="en-US" w:eastAsia="zh-CN"/>
              </w:rPr>
            </w:pPr>
            <w:r>
              <w:rPr>
                <w:rFonts w:hint="default"/>
                <w:vertAlign w:val="baseline"/>
                <w:lang w:val="en-US" w:eastAsia="zh-CN"/>
              </w:rPr>
              <w:t>code</w:t>
            </w:r>
            <w:r>
              <w:rPr>
                <w:rFonts w:hint="eastAsia"/>
                <w:vertAlign w:val="baseline"/>
                <w:lang w:val="en-US" w:eastAsia="zh-CN"/>
              </w:rPr>
              <w:t>取值</w:t>
            </w:r>
            <w:r>
              <w:rPr>
                <w:rFonts w:hint="default"/>
                <w:vertAlign w:val="baseline"/>
                <w:lang w:val="en-US" w:eastAsia="zh-CN"/>
              </w:rPr>
              <w:t>:</w:t>
            </w:r>
          </w:p>
          <w:p>
            <w:pPr>
              <w:numPr>
                <w:ilvl w:val="0"/>
                <w:numId w:val="1"/>
              </w:numPr>
              <w:rPr>
                <w:rFonts w:hint="eastAsia"/>
                <w:vertAlign w:val="baseline"/>
                <w:lang w:val="en-US" w:eastAsia="zh-CN"/>
              </w:rPr>
            </w:pPr>
            <w:r>
              <w:rPr>
                <w:rFonts w:hint="eastAsia"/>
                <w:vertAlign w:val="baseline"/>
                <w:lang w:val="en-US" w:eastAsia="zh-CN"/>
              </w:rPr>
              <w:t>同步出错</w:t>
            </w:r>
          </w:p>
          <w:p>
            <w:pPr>
              <w:numPr>
                <w:ilvl w:val="0"/>
                <w:numId w:val="1"/>
              </w:numPr>
              <w:rPr>
                <w:rFonts w:hint="eastAsia"/>
                <w:vertAlign w:val="baseline"/>
                <w:lang w:val="en-US" w:eastAsia="zh-CN"/>
              </w:rPr>
            </w:pPr>
            <w:r>
              <w:rPr>
                <w:rFonts w:hint="eastAsia"/>
                <w:vertAlign w:val="baseline"/>
                <w:lang w:val="en-US" w:eastAsia="zh-CN"/>
              </w:rPr>
              <w:t>同步完成</w:t>
            </w:r>
          </w:p>
          <w:p>
            <w:pPr>
              <w:numPr>
                <w:ilvl w:val="0"/>
                <w:numId w:val="1"/>
              </w:numPr>
              <w:rPr>
                <w:rFonts w:hint="eastAsia"/>
                <w:vertAlign w:val="baseline"/>
                <w:lang w:val="en-US" w:eastAsia="zh-CN"/>
              </w:rPr>
            </w:pP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r>
              <w:rPr>
                <w:rFonts w:hint="eastAsia"/>
                <w:lang w:val="en-US" w:eastAsia="zh-CN"/>
              </w:rPr>
              <w:t>同步成功或出错</w:t>
            </w:r>
            <w:r>
              <w:rPr>
                <w:rFonts w:hint="default"/>
                <w:lang w:val="en-US" w:eastAsia="zh-CN"/>
              </w:rPr>
              <w:t>”,</w:t>
            </w:r>
          </w:p>
          <w:p>
            <w:pPr>
              <w:ind w:firstLine="210" w:firstLineChars="100"/>
              <w:rPr>
                <w:rFonts w:hint="default" w:ascii="Calibri" w:hAnsi="Calibri" w:eastAsia="宋体" w:cs="Calibri"/>
                <w:color w:val="000000"/>
                <w:kern w:val="0"/>
                <w:sz w:val="21"/>
                <w:szCs w:val="21"/>
                <w:lang w:val="en-US"/>
              </w:rPr>
            </w:pPr>
            <w:r>
              <w:rPr>
                <w:rFonts w:hint="default"/>
                <w:lang w:val="en-US" w:eastAsia="zh-CN"/>
              </w:rPr>
              <w:t>“data”:null</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user,PageParamVO pg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templ,PageParamVO pg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r>
              <w:rPr>
                <w:rFonts w:hint="eastAsia"/>
                <w:lang w:val="en-US" w:eastAsia="zh-CN"/>
              </w:rPr>
              <w:t>删除成功</w:t>
            </w:r>
            <w:r>
              <w:rPr>
                <w:rFonts w:hint="default"/>
                <w:lang w:val="en-US" w:eastAsia="zh-CN"/>
              </w:rPr>
              <w:t>/</w:t>
            </w:r>
            <w:r>
              <w:rPr>
                <w:rFonts w:hint="eastAsia"/>
                <w:lang w:val="en-US" w:eastAsia="zh-CN"/>
              </w:rPr>
              <w:t>失败</w:t>
            </w:r>
            <w:r>
              <w:rPr>
                <w:rFonts w:hint="default"/>
                <w:lang w:val="en-US" w:eastAsia="zh-CN"/>
              </w:rPr>
              <w:t>”,</w:t>
            </w:r>
          </w:p>
          <w:p>
            <w:pPr>
              <w:ind w:firstLine="210" w:firstLineChars="100"/>
              <w:rPr>
                <w:rFonts w:hint="default" w:ascii="Calibri" w:hAnsi="Calibri" w:eastAsia="宋体" w:cs="Calibri"/>
                <w:color w:val="000000"/>
                <w:kern w:val="0"/>
                <w:sz w:val="21"/>
                <w:szCs w:val="21"/>
                <w:lang w:val="en-US"/>
              </w:rPr>
            </w:pPr>
            <w:r>
              <w:rPr>
                <w:rFonts w:hint="default"/>
                <w:lang w:val="en-US" w:eastAsia="zh-CN"/>
              </w:rPr>
              <w:t>“data”:null</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userName,PageParamVO pg</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r>
              <w:rPr>
                <w:rFonts w:hint="eastAsia"/>
                <w:lang w:val="en-US" w:eastAsia="zh-CN"/>
              </w:rPr>
              <w:t>全部成功或全部失败</w:t>
            </w:r>
            <w:r>
              <w:rPr>
                <w:rFonts w:hint="default"/>
                <w:lang w:val="en-US" w:eastAsia="zh-CN"/>
              </w:rPr>
              <w:t>”,</w:t>
            </w:r>
          </w:p>
          <w:p>
            <w:pPr>
              <w:ind w:firstLine="210" w:firstLineChars="100"/>
              <w:rPr>
                <w:rFonts w:hint="default"/>
                <w:lang w:val="en-US" w:eastAsia="zh-CN"/>
              </w:rPr>
            </w:pPr>
            <w:r>
              <w:rPr>
                <w:rFonts w:hint="default"/>
                <w:lang w:val="en-US" w:eastAsia="zh-CN"/>
              </w:rPr>
              <w:t>“data”:null</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role,PageParam pg</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bookmarkStart w:id="0" w:name="_GoBack"/>
      <w:bookmarkEnd w:id="0"/>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2"/>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2"/>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F5A1D"/>
    <w:multiLevelType w:val="singleLevel"/>
    <w:tmpl w:val="8F3F5A1D"/>
    <w:lvl w:ilvl="0" w:tentative="0">
      <w:start w:val="0"/>
      <w:numFmt w:val="decimal"/>
      <w:suff w:val="nothing"/>
      <w:lvlText w:val="%1-"/>
      <w:lvlJc w:val="left"/>
    </w:lvl>
  </w:abstractNum>
  <w:abstractNum w:abstractNumId="1">
    <w:nsid w:val="F5072A2B"/>
    <w:multiLevelType w:val="singleLevel"/>
    <w:tmpl w:val="F5072A2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6903E7"/>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1081339E"/>
    <w:rsid w:val="109D2551"/>
    <w:rsid w:val="11790CB8"/>
    <w:rsid w:val="132B33AA"/>
    <w:rsid w:val="1333128A"/>
    <w:rsid w:val="133326B9"/>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E210C2B"/>
    <w:rsid w:val="2E527773"/>
    <w:rsid w:val="2E6A133F"/>
    <w:rsid w:val="2E8F262C"/>
    <w:rsid w:val="2ECF766E"/>
    <w:rsid w:val="2F675AD6"/>
    <w:rsid w:val="2FB86E42"/>
    <w:rsid w:val="2FCA6500"/>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D80857"/>
    <w:rsid w:val="48EB355D"/>
    <w:rsid w:val="48FA0BA5"/>
    <w:rsid w:val="491C605C"/>
    <w:rsid w:val="49847208"/>
    <w:rsid w:val="49CC3ABE"/>
    <w:rsid w:val="49F661A3"/>
    <w:rsid w:val="4A6358A1"/>
    <w:rsid w:val="4C4E78D1"/>
    <w:rsid w:val="4CAD3153"/>
    <w:rsid w:val="4CD87F6D"/>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2018-06-06T03:39:19Z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