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"colJson":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"showType":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bookmarkStart w:id="0" w:name="_GoBack"/>
            <w:bookmarkEnd w:id="0"/>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9D3143"/>
    <w:rsid w:val="15C62C14"/>
    <w:rsid w:val="15F65628"/>
    <w:rsid w:val="16A5326B"/>
    <w:rsid w:val="17046F34"/>
    <w:rsid w:val="17270DEF"/>
    <w:rsid w:val="17EB636D"/>
    <w:rsid w:val="18206389"/>
    <w:rsid w:val="18E739C7"/>
    <w:rsid w:val="191B51E5"/>
    <w:rsid w:val="19A7153D"/>
    <w:rsid w:val="19C97B71"/>
    <w:rsid w:val="19E757BE"/>
    <w:rsid w:val="1B0B7E3A"/>
    <w:rsid w:val="1B1279A8"/>
    <w:rsid w:val="1B4C3410"/>
    <w:rsid w:val="1B7244D6"/>
    <w:rsid w:val="1C102EC1"/>
    <w:rsid w:val="1CA4123A"/>
    <w:rsid w:val="1CF35208"/>
    <w:rsid w:val="1D4648D0"/>
    <w:rsid w:val="1D737EF8"/>
    <w:rsid w:val="1D9F482D"/>
    <w:rsid w:val="1DDD61F6"/>
    <w:rsid w:val="1DDF04C2"/>
    <w:rsid w:val="1E3A73AC"/>
    <w:rsid w:val="1E576F59"/>
    <w:rsid w:val="1F1958C1"/>
    <w:rsid w:val="1FFE4469"/>
    <w:rsid w:val="20D92A31"/>
    <w:rsid w:val="210574CF"/>
    <w:rsid w:val="21076E31"/>
    <w:rsid w:val="218872DA"/>
    <w:rsid w:val="21A224FA"/>
    <w:rsid w:val="21AC0B74"/>
    <w:rsid w:val="21FF3E19"/>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7E26D6"/>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91C605C"/>
    <w:rsid w:val="49847208"/>
    <w:rsid w:val="49CC3ABE"/>
    <w:rsid w:val="49D17A06"/>
    <w:rsid w:val="49F661A3"/>
    <w:rsid w:val="4A6358A1"/>
    <w:rsid w:val="4AA70C92"/>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250F4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E3A3E85"/>
    <w:rsid w:val="5E4F0DD5"/>
    <w:rsid w:val="5EB441A5"/>
    <w:rsid w:val="5ED73BD8"/>
    <w:rsid w:val="5F6A4DD4"/>
    <w:rsid w:val="5FC434C5"/>
    <w:rsid w:val="60352033"/>
    <w:rsid w:val="60FB183A"/>
    <w:rsid w:val="616A0C84"/>
    <w:rsid w:val="617D5026"/>
    <w:rsid w:val="61E822CA"/>
    <w:rsid w:val="61F62AFB"/>
    <w:rsid w:val="62DC2706"/>
    <w:rsid w:val="62EF1966"/>
    <w:rsid w:val="63352895"/>
    <w:rsid w:val="63B45257"/>
    <w:rsid w:val="63F61E69"/>
    <w:rsid w:val="64615D91"/>
    <w:rsid w:val="64844653"/>
    <w:rsid w:val="64C339DF"/>
    <w:rsid w:val="655C58FF"/>
    <w:rsid w:val="65CC0AD8"/>
    <w:rsid w:val="66182DD3"/>
    <w:rsid w:val="66650BAD"/>
    <w:rsid w:val="66B503BC"/>
    <w:rsid w:val="66BE5526"/>
    <w:rsid w:val="67A002CA"/>
    <w:rsid w:val="67E16280"/>
    <w:rsid w:val="681A6BB7"/>
    <w:rsid w:val="683C3B69"/>
    <w:rsid w:val="68416D01"/>
    <w:rsid w:val="686622EE"/>
    <w:rsid w:val="6885175E"/>
    <w:rsid w:val="689A0517"/>
    <w:rsid w:val="68CC1DDC"/>
    <w:rsid w:val="69790FE3"/>
    <w:rsid w:val="69D51907"/>
    <w:rsid w:val="6A605F20"/>
    <w:rsid w:val="6AB02BAE"/>
    <w:rsid w:val="6AC661EB"/>
    <w:rsid w:val="6AD87AF5"/>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2018-06-14T02:59:32Z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