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lang w:val="en-US" w:eastAsia="zh-CN"/>
              </w:rPr>
            </w:pPr>
            <w:r>
              <w:rPr>
                <w:rFonts w:hint="eastAsia"/>
                <w:lang w:val="en-US" w:eastAsia="zh-CN"/>
              </w:rPr>
              <w:t xml:space="preserve">String </w:t>
            </w:r>
            <w:r>
              <w:rPr>
                <w:rFonts w:hint="default"/>
                <w:lang w:val="en-US" w:eastAsia="zh-CN"/>
              </w:rPr>
              <w:t>version</w:t>
            </w:r>
            <w:r>
              <w:rPr>
                <w:rFonts w:hint="eastAsia"/>
                <w:lang w:val="en-US" w:eastAsia="zh-CN"/>
              </w:rPr>
              <w:t>,String sysKey,</w:t>
            </w:r>
          </w:p>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ticket</w:t>
            </w:r>
            <w:r>
              <w:rPr>
                <w:rFonts w:hint="default"/>
                <w:lang w:val="en-US" w:eastAsia="zh-CN"/>
              </w:rPr>
              <w:t>,String pageUrl,String apiUrl</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bookmarkStart w:id="0" w:name="_GoBack"/>
            <w:bookmarkEnd w:id="0"/>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19109D"/>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902E3"/>
    <w:rsid w:val="700830D9"/>
    <w:rsid w:val="70437FAA"/>
    <w:rsid w:val="706549FC"/>
    <w:rsid w:val="7067261C"/>
    <w:rsid w:val="70CE0972"/>
    <w:rsid w:val="70E148F2"/>
    <w:rsid w:val="721E548F"/>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2018-06-11T09:43:18Z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