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hiddenFileds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bookmarkStart w:id="0" w:name="_GoBack"/>
            <w:bookmarkEnd w:id="0"/>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E</w:t>
            </w:r>
            <w:r>
              <w:rPr>
                <w:rFonts w:hint="default"/>
                <w:vertAlign w:val="baseline"/>
                <w:lang w:val="en-US" w:eastAsia="zh-CN"/>
              </w:rPr>
              <w:t>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E</w:t>
            </w:r>
            <w:r>
              <w:rPr>
                <w:rFonts w:hint="default"/>
                <w:vertAlign w:val="baseline"/>
                <w:lang w:val="en-US" w:eastAsia="zh-CN"/>
              </w:rPr>
              <w:t>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Strinh</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拥有些角色的用户域账号</w:t>
            </w:r>
          </w:p>
        </w:tc>
      </w:tr>
    </w:tbl>
    <w:p>
      <w:pPr>
        <w:rPr>
          <w:rFonts w:hint="default"/>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“lst”:[ { UserVO }],</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“totalPage”:10,</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“pageSize”:20</w:t>
            </w:r>
          </w:p>
          <w:p>
            <w:pPr>
              <w:ind w:firstLine="210" w:firstLineChars="1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eastAsia" w:ascii="Calibri" w:hAnsi="Calibri" w:eastAsia="宋体" w:cs="Calibri"/>
                <w:color w:val="000000"/>
                <w:kern w:val="0"/>
                <w:sz w:val="21"/>
                <w:szCs w:val="21"/>
                <w:lang w:val="en-US"/>
              </w:rPr>
            </w:pPr>
            <w:r>
              <w:rPr>
                <w:rFonts w:hint="default"/>
                <w:lang w:val="en-US" w:eastAsia="zh-CN"/>
              </w:rPr>
              <w:t xml:space="preserve">  “data”:</w:t>
            </w: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ind w:firstLine="210" w:firstLineChars="100"/>
              <w:rPr>
                <w:rFonts w:hint="default"/>
                <w:lang w:val="en-US" w:eastAsia="zh-CN"/>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lang w:val="en-US" w:eastAsia="zh-CN"/>
              </w:rPr>
              <w:t>}</w:t>
            </w:r>
          </w:p>
          <w:p>
            <w:pPr>
              <w:rPr>
                <w:rFonts w:hint="eastAsia" w:ascii="Calibri" w:hAnsi="Calibri" w:eastAsia="宋体" w:cs="Calibri"/>
                <w:color w:val="000000"/>
                <w:kern w:val="0"/>
                <w:sz w:val="21"/>
                <w:szCs w:val="21"/>
                <w:lang w:val="en-US" w:eastAsia="zh-CN"/>
              </w:rPr>
            </w:pPr>
          </w:p>
        </w:tc>
        <w:tc>
          <w:tcPr>
            <w:tcW w:w="3663" w:type="dxa"/>
          </w:tcPr>
          <w:p>
            <w:pPr>
              <w:rPr>
                <w:rFonts w:hint="eastAsia" w:eastAsiaTheme="minorEastAsia"/>
                <w:vertAlign w:val="baseline"/>
                <w:lang w:val="en-US" w:eastAsia="zh-CN"/>
              </w:rPr>
            </w:pPr>
            <w:r>
              <w:rPr>
                <w:rFonts w:hint="default"/>
                <w:vertAlign w:val="baseline"/>
                <w:lang w:val="en-US" w:eastAsia="zh-CN"/>
              </w:rPr>
              <w:t>code=1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code=0,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“data”:null</w:t>
            </w:r>
          </w:p>
          <w:p>
            <w:pPr>
              <w:rPr>
                <w:rFonts w:hint="eastAsia" w:ascii="Calibri" w:hAnsi="Calibri" w:eastAsia="宋体" w:cs="Calibri"/>
                <w:color w:val="000000"/>
                <w:kern w:val="0"/>
                <w:sz w:val="21"/>
                <w:szCs w:val="21"/>
                <w:lang w:val="en-US" w:eastAsia="zh-CN"/>
              </w:rPr>
            </w:pPr>
            <w:r>
              <w:rPr>
                <w:rFonts w:hint="default"/>
                <w:lang w:val="en-US" w:eastAsia="zh-CN"/>
              </w:rPr>
              <w:t>}</w:t>
            </w:r>
          </w:p>
        </w:tc>
        <w:tc>
          <w:tcPr>
            <w:tcW w:w="3663" w:type="dxa"/>
          </w:tcPr>
          <w:p>
            <w:pPr>
              <w:rPr>
                <w:rFonts w:hint="default"/>
                <w:vertAlign w:val="baseline"/>
                <w:lang w:val="en-US" w:eastAsia="zh-CN"/>
              </w:rPr>
            </w:pPr>
            <w:r>
              <w:rPr>
                <w:rFonts w:hint="default"/>
                <w:vertAlign w:val="baseline"/>
                <w:lang w:val="en-US" w:eastAsia="zh-CN"/>
              </w:rPr>
              <w:t>code</w:t>
            </w:r>
            <w:r>
              <w:rPr>
                <w:rFonts w:hint="eastAsia"/>
                <w:vertAlign w:val="baseline"/>
                <w:lang w:val="en-US" w:eastAsia="zh-CN"/>
              </w:rPr>
              <w:t>取值</w:t>
            </w:r>
            <w:r>
              <w:rPr>
                <w:rFonts w:hint="default"/>
                <w:vertAlign w:val="baseline"/>
                <w:lang w:val="en-US" w:eastAsia="zh-CN"/>
              </w:rPr>
              <w:t>:</w:t>
            </w:r>
          </w:p>
          <w:p>
            <w:pPr>
              <w:numPr>
                <w:ilvl w:val="0"/>
                <w:numId w:val="1"/>
              </w:numPr>
              <w:rPr>
                <w:rFonts w:hint="eastAsia"/>
                <w:vertAlign w:val="baseline"/>
                <w:lang w:val="en-US" w:eastAsia="zh-CN"/>
              </w:rPr>
            </w:pPr>
            <w:r>
              <w:rPr>
                <w:rFonts w:hint="eastAsia"/>
                <w:vertAlign w:val="baseline"/>
                <w:lang w:val="en-US" w:eastAsia="zh-CN"/>
              </w:rPr>
              <w:t>同步出错</w:t>
            </w:r>
          </w:p>
          <w:p>
            <w:pPr>
              <w:numPr>
                <w:ilvl w:val="0"/>
                <w:numId w:val="1"/>
              </w:numPr>
              <w:rPr>
                <w:rFonts w:hint="eastAsia"/>
                <w:vertAlign w:val="baseline"/>
                <w:lang w:val="en-US" w:eastAsia="zh-CN"/>
              </w:rPr>
            </w:pPr>
            <w:r>
              <w:rPr>
                <w:rFonts w:hint="eastAsia"/>
                <w:vertAlign w:val="baseline"/>
                <w:lang w:val="en-US" w:eastAsia="zh-CN"/>
              </w:rPr>
              <w:t>同步完成</w:t>
            </w:r>
          </w:p>
          <w:p>
            <w:pPr>
              <w:numPr>
                <w:ilvl w:val="0"/>
                <w:numId w:val="1"/>
              </w:numPr>
              <w:rPr>
                <w:rFonts w:hint="eastAsia"/>
                <w:vertAlign w:val="baseline"/>
                <w:lang w:val="en-US" w:eastAsia="zh-CN"/>
              </w:rPr>
            </w:pP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[“data_rule_templ_id”]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w:t>
            </w:r>
            <w:r>
              <w:rPr>
                <w:rFonts w:hint="eastAsia" w:ascii="Calibri" w:hAnsi="Calibri" w:eastAsia="宋体" w:cs="Calibri"/>
                <w:color w:val="000000"/>
                <w:kern w:val="0"/>
                <w:sz w:val="21"/>
                <w:szCs w:val="21"/>
                <w:lang w:val="en-US" w:eastAsia="zh-CN"/>
              </w:rPr>
              <w:t>T</w:t>
            </w:r>
            <w:r>
              <w:rPr>
                <w:rFonts w:hint="default" w:ascii="Calibri" w:hAnsi="Calibri" w:eastAsia="宋体" w:cs="Calibri"/>
                <w:color w:val="000000"/>
                <w:kern w:val="0"/>
                <w:sz w:val="21"/>
                <w:szCs w:val="21"/>
                <w:lang w:val="en-US"/>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userName,String sysKey,String ticket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default"/>
                <w:lang w:val="en-US" w:eastAsia="zh-CN"/>
              </w:rPr>
            </w:pPr>
            <w:r>
              <w:rPr>
                <w:rFonts w:hint="default"/>
                <w:lang w:val="en-US" w:eastAsia="zh-CN"/>
              </w:rPr>
              <w:t>ResultVO&lt;UserSysVO&gt;</w:t>
            </w:r>
          </w:p>
          <w:p>
            <w:pPr>
              <w:rPr>
                <w:rFonts w:hint="eastAsia" w:ascii="Calibri" w:hAnsi="Calibri" w:eastAsia="宋体" w:cs="Calibri"/>
                <w:color w:val="000000"/>
                <w:kern w:val="0"/>
                <w:sz w:val="21"/>
                <w:szCs w:val="21"/>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rPr>
          <w:rFonts w:hint="default"/>
          <w:lang w:val="en-US" w:eastAsia="zh-CN"/>
        </w:rPr>
      </w:pPr>
      <w:r>
        <w:rPr>
          <w:rFonts w:hint="eastAsia"/>
          <w:lang w:val="en-US" w:eastAsia="zh-CN"/>
        </w:rPr>
        <w:t>同步钉钉部门及钉钉人员+同步</w:t>
      </w:r>
      <w:r>
        <w:rPr>
          <w:rFonts w:hint="default"/>
          <w:lang w:val="en-US" w:eastAsia="zh-CN"/>
        </w:rPr>
        <w:t>UserInfo</w:t>
      </w:r>
      <w:r>
        <w:rPr>
          <w:rFonts w:hint="eastAsia"/>
          <w:lang w:val="en-US" w:eastAsia="zh-CN"/>
        </w:rPr>
        <w:t>用户</w:t>
      </w:r>
      <w:r>
        <w:rPr>
          <w:rFonts w:hint="default"/>
          <w:lang w:val="en-US" w:eastAsia="zh-CN"/>
        </w:rPr>
        <w:t>;</w:t>
      </w:r>
    </w:p>
    <w:p>
      <w:pPr>
        <w:rPr>
          <w:rFonts w:hint="eastAsia"/>
          <w:lang w:val="en-US" w:eastAsia="zh-CN"/>
        </w:rPr>
      </w:pPr>
      <w:r>
        <w:rPr>
          <w:rFonts w:hint="default"/>
          <w:lang w:val="en-US" w:eastAsia="zh-CN"/>
        </w:rPr>
        <w:t>12H/</w:t>
      </w:r>
      <w:r>
        <w:rPr>
          <w:rFonts w:hint="eastAsia"/>
          <w:lang w:val="en-US" w:eastAsia="zh-CN"/>
        </w:rPr>
        <w:t>次；</w:t>
      </w:r>
    </w:p>
    <w:p>
      <w:pPr>
        <w:rPr>
          <w:rFonts w:hint="eastAsia"/>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w:t>
      </w:r>
    </w:p>
    <w:p>
      <w:pPr>
        <w:rPr>
          <w:rFonts w:hint="eastAsia"/>
          <w:lang w:val="en-US" w:eastAsia="zh-CN"/>
        </w:rPr>
      </w:pPr>
      <w:r>
        <w:rPr>
          <w:rFonts w:hint="eastAsia"/>
          <w:lang w:val="en-US" w:eastAsia="zh-CN"/>
        </w:rPr>
        <w:t>消息体：</w:t>
      </w:r>
      <w:r>
        <w:rPr>
          <w:rFonts w:hint="default"/>
          <w:lang w:val="en-US" w:eastAsia="zh-CN"/>
        </w:rPr>
        <w:t>DataRuleVO</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2"/>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2"/>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F5A1D"/>
    <w:multiLevelType w:val="singleLevel"/>
    <w:tmpl w:val="8F3F5A1D"/>
    <w:lvl w:ilvl="0" w:tentative="0">
      <w:start w:val="0"/>
      <w:numFmt w:val="decimal"/>
      <w:suff w:val="nothing"/>
      <w:lvlText w:val="%1-"/>
      <w:lvlJc w:val="left"/>
    </w:lvl>
  </w:abstractNum>
  <w:abstractNum w:abstractNumId="1">
    <w:nsid w:val="F5072A2B"/>
    <w:multiLevelType w:val="singleLevel"/>
    <w:tmpl w:val="F5072A2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6903E7"/>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2B33AA"/>
    <w:rsid w:val="1333128A"/>
    <w:rsid w:val="133326B9"/>
    <w:rsid w:val="135A39D6"/>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F35208"/>
    <w:rsid w:val="1D4648D0"/>
    <w:rsid w:val="1D737EF8"/>
    <w:rsid w:val="1DDD61F6"/>
    <w:rsid w:val="1DDF04C2"/>
    <w:rsid w:val="1E3A73AC"/>
    <w:rsid w:val="1E576F59"/>
    <w:rsid w:val="1F1958C1"/>
    <w:rsid w:val="1FFE4469"/>
    <w:rsid w:val="20D92A31"/>
    <w:rsid w:val="210574CF"/>
    <w:rsid w:val="218872DA"/>
    <w:rsid w:val="21A224FA"/>
    <w:rsid w:val="21AC0B74"/>
    <w:rsid w:val="229765AD"/>
    <w:rsid w:val="229E3078"/>
    <w:rsid w:val="22E06BBE"/>
    <w:rsid w:val="24AF2FF4"/>
    <w:rsid w:val="24C72F37"/>
    <w:rsid w:val="24DA57D4"/>
    <w:rsid w:val="24EA612B"/>
    <w:rsid w:val="24FD1D5F"/>
    <w:rsid w:val="25296B95"/>
    <w:rsid w:val="252C5577"/>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4727D7"/>
    <w:rsid w:val="2C89409D"/>
    <w:rsid w:val="2CA83C46"/>
    <w:rsid w:val="2E210C2B"/>
    <w:rsid w:val="2E527773"/>
    <w:rsid w:val="2E6A133F"/>
    <w:rsid w:val="2E8F262C"/>
    <w:rsid w:val="2ECF766E"/>
    <w:rsid w:val="2F675AD6"/>
    <w:rsid w:val="2FB86E42"/>
    <w:rsid w:val="2FCA6500"/>
    <w:rsid w:val="2FF1758B"/>
    <w:rsid w:val="301B525E"/>
    <w:rsid w:val="3064437D"/>
    <w:rsid w:val="30B121AB"/>
    <w:rsid w:val="319E0488"/>
    <w:rsid w:val="31D56D3E"/>
    <w:rsid w:val="321953DB"/>
    <w:rsid w:val="324A46D4"/>
    <w:rsid w:val="32721A13"/>
    <w:rsid w:val="32D3550D"/>
    <w:rsid w:val="330F5CAC"/>
    <w:rsid w:val="33C93AEF"/>
    <w:rsid w:val="340A1B76"/>
    <w:rsid w:val="34381804"/>
    <w:rsid w:val="34876E44"/>
    <w:rsid w:val="351A3156"/>
    <w:rsid w:val="35580460"/>
    <w:rsid w:val="35AC5E79"/>
    <w:rsid w:val="35D26FC1"/>
    <w:rsid w:val="36D124F0"/>
    <w:rsid w:val="381F63EA"/>
    <w:rsid w:val="38A56320"/>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F661A3"/>
    <w:rsid w:val="4A6358A1"/>
    <w:rsid w:val="4C4E78D1"/>
    <w:rsid w:val="4CAD3153"/>
    <w:rsid w:val="4CD87F6D"/>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F2240F"/>
    <w:rsid w:val="5250048A"/>
    <w:rsid w:val="52E871B5"/>
    <w:rsid w:val="532651A4"/>
    <w:rsid w:val="53286CA1"/>
    <w:rsid w:val="536F5EA4"/>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4615D91"/>
    <w:rsid w:val="64C339DF"/>
    <w:rsid w:val="65CC0AD8"/>
    <w:rsid w:val="66650BAD"/>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E4720DC"/>
    <w:rsid w:val="6E4A50C1"/>
    <w:rsid w:val="6EAD7464"/>
    <w:rsid w:val="6EAE51FC"/>
    <w:rsid w:val="6F0738DD"/>
    <w:rsid w:val="6F0E573B"/>
    <w:rsid w:val="6F6C12C8"/>
    <w:rsid w:val="6F72795D"/>
    <w:rsid w:val="6F77599A"/>
    <w:rsid w:val="6F85501E"/>
    <w:rsid w:val="6FF902E3"/>
    <w:rsid w:val="700830D9"/>
    <w:rsid w:val="70437FAA"/>
    <w:rsid w:val="706549FC"/>
    <w:rsid w:val="7067261C"/>
    <w:rsid w:val="70CE0972"/>
    <w:rsid w:val="70E148F2"/>
    <w:rsid w:val="725A7578"/>
    <w:rsid w:val="72D16A7D"/>
    <w:rsid w:val="72DF3A29"/>
    <w:rsid w:val="731A2AA7"/>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6C0DC2"/>
    <w:rsid w:val="79B530FB"/>
    <w:rsid w:val="79B8150C"/>
    <w:rsid w:val="79BC62E7"/>
    <w:rsid w:val="7A674518"/>
    <w:rsid w:val="7AF22303"/>
    <w:rsid w:val="7B284E26"/>
    <w:rsid w:val="7B4235D9"/>
    <w:rsid w:val="7B51396B"/>
    <w:rsid w:val="7BB16BE9"/>
    <w:rsid w:val="7BDA1555"/>
    <w:rsid w:val="7C1E6C8D"/>
    <w:rsid w:val="7C426F5B"/>
    <w:rsid w:val="7C5D2523"/>
    <w:rsid w:val="7C9D567A"/>
    <w:rsid w:val="7CF325D7"/>
    <w:rsid w:val="7D223D53"/>
    <w:rsid w:val="7D450BB8"/>
    <w:rsid w:val="7D5B54BA"/>
    <w:rsid w:val="7D8459B4"/>
    <w:rsid w:val="7DAC40BC"/>
    <w:rsid w:val="7DBD0B31"/>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2018-06-07T07:56:56Z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