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" w:hAnsi="仿宋" w:eastAsia="仿宋" w:cs="仿宋"/>
          <w:b/>
          <w:b/>
          <w:bCs/>
          <w:sz w:val="28"/>
          <w:szCs w:val="28"/>
        </w:rPr>
      </w:pPr>
      <w:r>
        <w:rPr>
          <w:rFonts w:ascii="仿宋" w:hAnsi="仿宋" w:cs="仿宋" w:eastAsia="仿宋"/>
          <w:b/>
          <w:bCs/>
          <w:sz w:val="28"/>
          <w:szCs w:val="28"/>
        </w:rPr>
        <w:t>技术交底书</w:t>
      </w:r>
    </w:p>
    <w:tbl>
      <w:tblPr>
        <w:tblW w:w="82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5"/>
        <w:gridCol w:w="1418"/>
        <w:gridCol w:w="4420"/>
      </w:tblGrid>
      <w:tr>
        <w:trPr>
          <w:trHeight w:val="558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DD6EE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项目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DD6EE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内容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申请人名义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kern w:val="2"/>
                <w:sz w:val="28"/>
                <w:szCs w:val="28"/>
              </w:rPr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专利名称（暂定）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  <w:lang w:eastAsia="zh-TW"/>
              </w:rPr>
            </w:pPr>
            <w:r>
              <w:rPr>
                <w:rFonts w:eastAsia="仿宋"/>
                <w:sz w:val="28"/>
                <w:szCs w:val="28"/>
                <w:lang w:val="en-US"/>
              </w:rPr>
              <w:t>一种支持北三特种终端设备的导航数据编译方法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申报类型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kern w:val="2"/>
                <w:sz w:val="28"/>
                <w:szCs w:val="28"/>
              </w:rPr>
              <w:t>发明</w:t>
            </w:r>
          </w:p>
        </w:tc>
      </w:tr>
      <w:tr>
        <w:trPr>
          <w:trHeight w:val="567" w:hRule="atLeast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发明人（可多个）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kern w:val="2"/>
                <w:sz w:val="28"/>
                <w:szCs w:val="28"/>
              </w:rPr>
            </w:r>
          </w:p>
        </w:tc>
      </w:tr>
      <w:tr>
        <w:trPr>
          <w:trHeight w:val="151" w:hRule="atLeast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技术联系人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姓名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kern w:val="2"/>
                <w:sz w:val="28"/>
                <w:szCs w:val="28"/>
                <w:lang w:val="en-AU"/>
              </w:rPr>
              <w:t>周建国</w:t>
            </w:r>
          </w:p>
        </w:tc>
      </w:tr>
      <w:tr>
        <w:trPr>
          <w:trHeight w:val="150" w:hRule="atLeast"/>
        </w:trPr>
        <w:tc>
          <w:tcPr>
            <w:tcW w:w="24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电话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  <w:t>1</w:t>
            </w:r>
            <w:r>
              <w:rPr>
                <w:rFonts w:eastAsia="仿宋" w:cs="仿宋" w:ascii="仿宋" w:hAnsi="仿宋"/>
                <w:b/>
                <w:color w:val="auto"/>
                <w:kern w:val="2"/>
                <w:sz w:val="28"/>
                <w:szCs w:val="28"/>
                <w:lang w:val="en-AU" w:eastAsia="zh-CN" w:bidi="ar-SA"/>
              </w:rPr>
              <w:t>3126608783</w:t>
            </w:r>
          </w:p>
        </w:tc>
      </w:tr>
      <w:tr>
        <w:trPr>
          <w:trHeight w:val="150" w:hRule="atLeast"/>
        </w:trPr>
        <w:tc>
          <w:tcPr>
            <w:tcW w:w="24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ascii="仿宋" w:hAnsi="仿宋" w:cs="仿宋" w:eastAsia="仿宋"/>
                <w:b/>
                <w:kern w:val="2"/>
                <w:sz w:val="28"/>
                <w:szCs w:val="28"/>
              </w:rPr>
              <w:t>邮件</w:t>
            </w:r>
          </w:p>
        </w:tc>
        <w:tc>
          <w:tcPr>
            <w:tcW w:w="4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仿宋" w:hAnsi="仿宋" w:eastAsia="仿宋" w:cs="仿宋"/>
                <w:b/>
                <w:b/>
                <w:kern w:val="2"/>
                <w:sz w:val="28"/>
                <w:szCs w:val="28"/>
              </w:rPr>
            </w:pP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  <w:lang w:val="en-AU"/>
              </w:rPr>
              <w:t>zhoujianguo</w:t>
            </w:r>
            <w:r>
              <w:rPr>
                <w:rFonts w:eastAsia="仿宋" w:cs="仿宋" w:ascii="仿宋" w:hAnsi="仿宋"/>
                <w:b/>
                <w:kern w:val="2"/>
                <w:sz w:val="28"/>
                <w:szCs w:val="28"/>
              </w:rPr>
              <w:t>@piesat.cn</w:t>
            </w:r>
          </w:p>
        </w:tc>
      </w:tr>
    </w:tbl>
    <w:p>
      <w:pPr>
        <w:pStyle w:val="Normal"/>
        <w:jc w:val="both"/>
        <w:rPr>
          <w:rFonts w:ascii="仿宋" w:hAnsi="仿宋" w:eastAsia="仿宋" w:cs="仿宋"/>
          <w:b/>
          <w:b/>
          <w:bCs/>
          <w:sz w:val="28"/>
          <w:szCs w:val="28"/>
        </w:rPr>
      </w:pPr>
      <w:r>
        <w:rPr>
          <w:rFonts w:eastAsia="仿宋" w:cs="仿宋" w:ascii="仿宋" w:hAnsi="仿宋"/>
          <w:b/>
          <w:bCs/>
          <w:sz w:val="28"/>
          <w:szCs w:val="28"/>
        </w:rPr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color w:val="0000FF"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发明或实用新型名称</w:t>
      </w:r>
    </w:p>
    <w:p>
      <w:pPr>
        <w:pStyle w:val="Normal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eastAsia="仿宋"/>
          <w:sz w:val="28"/>
          <w:szCs w:val="28"/>
          <w:lang w:val="en-US"/>
        </w:rPr>
        <w:t>一种支持北三特种终端设备的导航数据编译方法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所属技术领域</w:t>
      </w:r>
    </w:p>
    <w:p>
      <w:pPr>
        <w:pStyle w:val="Normal"/>
        <w:spacing w:lineRule="auto" w:line="480"/>
        <w:ind w:firstLine="56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cs="仿宋" w:eastAsia="仿宋"/>
          <w:sz w:val="28"/>
          <w:szCs w:val="28"/>
        </w:rPr>
        <w:t>导航技术领域</w:t>
      </w:r>
      <w:r>
        <w:rPr>
          <w:rFonts w:ascii="仿宋" w:hAnsi="仿宋" w:cs="仿宋" w:eastAsia="仿宋"/>
          <w:sz w:val="28"/>
          <w:szCs w:val="28"/>
          <w:lang w:val="en-AU"/>
        </w:rPr>
        <w:t>、北斗三号、移动终端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背景技术（含与本专利接近的技术）</w:t>
      </w:r>
    </w:p>
    <w:p>
      <w:pPr>
        <w:pStyle w:val="Normal"/>
        <w:spacing w:lineRule="auto" w:line="480"/>
        <w:ind w:firstLine="560"/>
        <w:jc w:val="both"/>
        <w:rPr>
          <w:rFonts w:eastAsia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北斗三号导航系统是我国自主研发的卫星导航系统，也称为北斗卫星导航系统第三代，旨在提供全球覆盖的卫星导航定位服务，具备高精度、高可靠性等特点。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北斗三号导航系统的应用包括位置服务、导航应用、军事用途、交通运输、灾难应急响应等。基于北斗三号的移动终端设备，进行导航数据编译，从而进行导航。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目的</w:t>
      </w:r>
    </w:p>
    <w:p>
      <w:pPr>
        <w:pStyle w:val="Normal"/>
        <w:widowControl w:val="false"/>
        <w:spacing w:lineRule="auto" w:line="48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color w:val="auto"/>
          <w:kern w:val="0"/>
          <w:sz w:val="28"/>
          <w:szCs w:val="28"/>
          <w:lang w:val="en-AU" w:eastAsia="zh-CN" w:bidi="ar-SA"/>
        </w:rPr>
        <w:t>首先</w:t>
      </w:r>
      <w:r>
        <w:rPr>
          <w:rFonts w:ascii="仿宋" w:hAnsi="仿宋" w:cs="仿宋" w:eastAsia="仿宋"/>
          <w:sz w:val="28"/>
          <w:szCs w:val="28"/>
        </w:rPr>
        <w:t>，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AU" w:eastAsia="zh-CN" w:bidi="ar-SA"/>
        </w:rPr>
        <w:t>该导航数据编译方法基于北斗三号导航系统移动终端设备研制，能更好的适配北斗三号移动终端。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传统导航数据编译需要专门的软件进行编译，传统导航数据编译可能包括数据格式的自定义订制、索引化、压缩等，以便在导航中高效的使用数据。本方法的导航数据编译中，包括数据格式定制、索引、压缩等方法使用开源的</w:t>
      </w:r>
      <w:r>
        <w:rPr>
          <w:rFonts w:eastAsia="仿宋" w:cs="仿宋" w:ascii="仿宋" w:hAnsi="仿宋"/>
          <w:color w:val="auto"/>
          <w:kern w:val="0"/>
          <w:sz w:val="28"/>
          <w:szCs w:val="28"/>
          <w:lang w:val="en-US" w:eastAsia="zh-CN" w:bidi="ar-SA"/>
        </w:rPr>
        <w:t>SQLITE3</w:t>
      </w:r>
      <w:r>
        <w:rPr>
          <w:rFonts w:ascii="仿宋" w:hAnsi="仿宋" w:cs="仿宋" w:eastAsia="仿宋"/>
          <w:color w:val="auto"/>
          <w:kern w:val="0"/>
          <w:sz w:val="28"/>
          <w:szCs w:val="28"/>
          <w:lang w:val="en-US" w:eastAsia="zh-CN" w:bidi="ar-SA"/>
        </w:rPr>
        <w:t>进行处理，从而降低了导航数据编译的门槛，简化了导航数据编译流程，实现了高效的导航数据编译流程，结合北斗三号的高精度导航需求功能，构建了一套简化、低成本且高效的导航数据编译流程。方案设计支持灵活的导航数据更新与扩展，满足北斗三号移动终端的导航需求。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48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</w:rPr>
        <w:t>技术方案</w:t>
      </w:r>
    </w:p>
    <w:p>
      <w:pPr>
        <w:pStyle w:val="Style51"/>
        <w:spacing w:lineRule="auto" w:line="360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cs="仿宋" w:eastAsia="仿宋"/>
          <w:sz w:val="28"/>
          <w:szCs w:val="28"/>
        </w:rPr>
        <w:t>本发明专利是一种支持北三特种终端设备的导航数据编译方法，该方法的主要技术流程为：</w:t>
      </w:r>
      <w:r>
        <w:rPr>
          <w:rFonts w:ascii="仿宋" w:hAnsi="仿宋" w:cs="仿宋" w:eastAsia="仿宋"/>
          <w:kern w:val="2"/>
          <w:sz w:val="28"/>
          <w:szCs w:val="28"/>
          <w:lang w:val="en-US"/>
        </w:rPr>
        <w:t>数据采集和整合</w:t>
      </w:r>
      <w:r>
        <w:rPr>
          <w:rFonts w:ascii="仿宋" w:hAnsi="仿宋" w:cs="仿宋" w:eastAsia="仿宋"/>
          <w:sz w:val="28"/>
          <w:szCs w:val="28"/>
        </w:rPr>
        <w:t>、</w:t>
      </w:r>
      <w:r>
        <w:rPr>
          <w:rFonts w:ascii="仿宋" w:hAnsi="仿宋" w:cs="仿宋" w:eastAsia="仿宋"/>
          <w:kern w:val="2"/>
          <w:sz w:val="28"/>
          <w:szCs w:val="28"/>
          <w:lang w:val="en-US"/>
        </w:rPr>
        <w:t>数据清洗和验证、地理编码和逆地理编码、路网建模和拓扑分析、数据格式化和存储、更新和维护、性能和测试。</w:t>
      </w:r>
      <w:r>
        <w:rPr>
          <w:rFonts w:ascii="仿宋" w:hAnsi="仿宋" w:cs="仿宋" w:eastAsia="仿宋"/>
          <w:sz w:val="28"/>
          <w:szCs w:val="28"/>
        </w:rPr>
        <w:t>实现</w:t>
      </w:r>
      <w:r>
        <w:rPr>
          <w:rFonts w:ascii="仿宋" w:hAnsi="仿宋" w:cs="仿宋" w:eastAsia="仿宋"/>
          <w:kern w:val="2"/>
          <w:sz w:val="28"/>
          <w:szCs w:val="28"/>
          <w:lang w:val="en-US"/>
        </w:rPr>
        <w:t>基于北三终端的导航数据编译</w:t>
      </w:r>
      <w:r>
        <w:rPr>
          <w:rFonts w:ascii="仿宋" w:hAnsi="仿宋" w:cs="仿宋" w:eastAsia="仿宋"/>
          <w:sz w:val="28"/>
          <w:szCs w:val="28"/>
        </w:rPr>
        <w:t>。图</w:t>
      </w:r>
      <w:r>
        <w:rPr>
          <w:rFonts w:eastAsia="仿宋" w:cs="仿宋" w:ascii="仿宋" w:hAnsi="仿宋"/>
          <w:sz w:val="28"/>
          <w:szCs w:val="28"/>
        </w:rPr>
        <w:t>1</w:t>
      </w:r>
      <w:r>
        <w:rPr>
          <w:rFonts w:ascii="仿宋" w:hAnsi="仿宋" w:cs="仿宋" w:eastAsia="仿宋"/>
          <w:sz w:val="28"/>
          <w:szCs w:val="28"/>
        </w:rPr>
        <w:t>为技术流程图，下面将详细列出关键步骤：</w:t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eastAsia="仿宋" w:cs="仿宋" w:ascii="仿宋" w:hAnsi="仿宋"/>
          <w:sz w:val="28"/>
          <w:szCs w:val="28"/>
        </w:rPr>
      </w:r>
    </w:p>
    <w:p>
      <w:pPr>
        <w:pStyle w:val="Style51"/>
        <w:spacing w:lineRule="auto" w:line="360"/>
        <w:ind w:hanging="0"/>
        <w:jc w:val="center"/>
        <w:rPr>
          <w:rFonts w:ascii="仿宋" w:hAnsi="仿宋" w:eastAsia="仿宋" w:cs="仿宋"/>
          <w:szCs w:val="21"/>
        </w:rPr>
      </w:pPr>
      <w:r>
        <w:rPr>
          <w:rFonts w:ascii="仿宋" w:hAnsi="仿宋" w:cs="仿宋" w:eastAsia="仿宋"/>
          <w:szCs w:val="21"/>
        </w:rPr>
        <w:t>图</w:t>
      </w:r>
      <w:r>
        <w:rPr>
          <w:rFonts w:eastAsia="仿宋" w:cs="仿宋" w:ascii="仿宋" w:hAnsi="仿宋"/>
          <w:szCs w:val="21"/>
        </w:rPr>
        <w:t xml:space="preserve">1 </w:t>
      </w:r>
      <w:r>
        <w:rPr>
          <w:rFonts w:ascii="仿宋" w:hAnsi="仿宋" w:cs="仿宋" w:eastAsia="仿宋"/>
          <w:szCs w:val="21"/>
        </w:rPr>
        <w:t>一种支持北三特种终端设备的导航数据编译方法</w:t>
      </w:r>
    </w:p>
    <w:p>
      <w:pPr>
        <w:pStyle w:val="Normal"/>
        <w:spacing w:lineRule="auto" w:line="360"/>
        <w:ind w:firstLine="562"/>
        <w:jc w:val="both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/>
      </w:r>
    </w:p>
    <w:p>
      <w:pPr>
        <w:pStyle w:val="3"/>
        <w:spacing w:lineRule="auto" w:line="360"/>
        <w:jc w:val="both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>
          <w:rFonts w:ascii="仿宋" w:hAnsi="仿宋" w:cs="仿宋" w:eastAsia="仿宋"/>
          <w:b/>
          <w:sz w:val="28"/>
          <w:szCs w:val="28"/>
        </w:rPr>
        <w:t>（一）网格数据组织</w:t>
      </w:r>
    </w:p>
    <w:p>
      <w:pPr>
        <w:pStyle w:val="Style51"/>
        <w:numPr>
          <w:ilvl w:val="0"/>
          <w:numId w:val="17"/>
        </w:numPr>
        <w:rPr/>
      </w:pPr>
      <w:r>
        <w:rPr>
          <w:sz w:val="28"/>
          <w:szCs w:val="28"/>
        </w:rPr>
        <w:t>网格划分</w:t>
      </w:r>
    </w:p>
    <w:p>
      <w:pPr>
        <w:pStyle w:val="Style51"/>
        <w:numPr>
          <w:ilvl w:val="0"/>
          <w:numId w:val="16"/>
        </w:numPr>
        <w:rPr/>
      </w:pPr>
      <w:r>
        <w:rPr>
          <w:rStyle w:val="Style17"/>
          <w:b w:val="false"/>
          <w:bCs w:val="false"/>
          <w:sz w:val="28"/>
          <w:szCs w:val="28"/>
        </w:rPr>
        <w:t>一次网格与二次网格</w:t>
      </w:r>
    </w:p>
    <w:p>
      <w:pPr>
        <w:pStyle w:val="Style51"/>
        <w:numPr>
          <w:ilvl w:val="0"/>
          <w:numId w:val="0"/>
        </w:numPr>
        <w:ind w:hanging="0"/>
        <w:rPr>
          <w:sz w:val="28"/>
          <w:szCs w:val="28"/>
        </w:rPr>
      </w:pPr>
      <w:r>
        <w:rPr>
          <w:sz w:val="28"/>
          <w:szCs w:val="28"/>
        </w:rPr>
        <w:t>一次网格覆盖较大区域，以经差</w:t>
      </w:r>
      <w:r>
        <w:rPr>
          <w:sz w:val="28"/>
          <w:szCs w:val="28"/>
        </w:rPr>
        <w:t>1°</w:t>
      </w:r>
      <w:r>
        <w:rPr>
          <w:sz w:val="28"/>
          <w:szCs w:val="28"/>
        </w:rPr>
        <w:t>、纬差</w:t>
      </w:r>
      <w:r>
        <w:rPr>
          <w:sz w:val="28"/>
          <w:szCs w:val="28"/>
        </w:rPr>
        <w:t>40'</w:t>
      </w:r>
      <w:r>
        <w:rPr>
          <w:sz w:val="28"/>
          <w:szCs w:val="28"/>
        </w:rPr>
        <w:t>为单位。</w:t>
      </w:r>
    </w:p>
    <w:p>
      <w:pPr>
        <w:pStyle w:val="Style51"/>
        <w:numPr>
          <w:ilvl w:val="0"/>
          <w:numId w:val="0"/>
        </w:numPr>
        <w:ind w:hanging="0"/>
        <w:rPr>
          <w:sz w:val="28"/>
          <w:szCs w:val="28"/>
        </w:rPr>
      </w:pPr>
      <w:r>
        <w:rPr>
          <w:sz w:val="28"/>
          <w:szCs w:val="28"/>
        </w:rPr>
        <w:t>二次网格在一次网格基础上细分为</w:t>
      </w:r>
      <w:r>
        <w:rPr>
          <w:sz w:val="28"/>
          <w:szCs w:val="28"/>
        </w:rPr>
        <w:t>8x8</w:t>
      </w:r>
      <w:r>
        <w:rPr>
          <w:sz w:val="28"/>
          <w:szCs w:val="28"/>
        </w:rPr>
        <w:t>格，每格为经差</w:t>
      </w:r>
      <w:r>
        <w:rPr>
          <w:sz w:val="28"/>
          <w:szCs w:val="28"/>
        </w:rPr>
        <w:t>7.5'</w:t>
      </w:r>
      <w:r>
        <w:rPr>
          <w:sz w:val="28"/>
          <w:szCs w:val="28"/>
        </w:rPr>
        <w:t>、纬差</w:t>
      </w:r>
      <w:r>
        <w:rPr>
          <w:sz w:val="28"/>
          <w:szCs w:val="28"/>
        </w:rPr>
        <w:t>5'</w:t>
      </w:r>
      <w:r>
        <w:rPr>
          <w:sz w:val="28"/>
          <w:szCs w:val="28"/>
        </w:rPr>
        <w:t>。</w:t>
      </w:r>
    </w:p>
    <w:p>
      <w:pPr>
        <w:pStyle w:val="Style51"/>
        <w:numPr>
          <w:ilvl w:val="0"/>
          <w:numId w:val="14"/>
        </w:numPr>
        <w:tabs>
          <w:tab w:val="clear" w:pos="420"/>
          <w:tab w:val="left" w:pos="0" w:leader="none"/>
        </w:tabs>
        <w:ind w:left="709" w:firstLine="137"/>
        <w:rPr/>
      </w:pPr>
      <w:r>
        <w:rPr>
          <w:rStyle w:val="Style17"/>
          <w:sz w:val="28"/>
          <w:szCs w:val="28"/>
        </w:rPr>
        <w:t>中国一次网格规模</w:t>
      </w:r>
    </w:p>
    <w:p>
      <w:pPr>
        <w:pStyle w:val="Style51"/>
        <w:numPr>
          <w:ilvl w:val="1"/>
          <w:numId w:val="14"/>
        </w:numPr>
        <w:tabs>
          <w:tab w:val="clear" w:pos="420"/>
          <w:tab w:val="left" w:pos="0" w:leader="none"/>
        </w:tabs>
        <w:ind w:left="1418" w:firstLine="137"/>
        <w:rPr>
          <w:sz w:val="28"/>
          <w:szCs w:val="28"/>
        </w:rPr>
      </w:pPr>
      <w:r>
        <w:rPr>
          <w:sz w:val="28"/>
          <w:szCs w:val="28"/>
        </w:rPr>
        <w:t>根据中国的经纬度范围，划分有效的一次网格总数，并对每个网格内的道路元素、结点等数据进行统计与管理。</w:t>
      </w:r>
    </w:p>
    <w:p>
      <w:pPr>
        <w:pStyle w:val="Style51"/>
        <w:numPr>
          <w:ilvl w:val="0"/>
          <w:numId w:val="14"/>
        </w:numPr>
        <w:tabs>
          <w:tab w:val="clear" w:pos="420"/>
          <w:tab w:val="left" w:pos="0" w:leader="none"/>
        </w:tabs>
        <w:ind w:left="709" w:firstLine="137"/>
        <w:rPr/>
      </w:pPr>
      <w:r>
        <w:rPr>
          <w:rStyle w:val="Style17"/>
          <w:sz w:val="28"/>
          <w:szCs w:val="28"/>
        </w:rPr>
        <w:t>网格规则</w:t>
      </w:r>
    </w:p>
    <w:p>
      <w:pPr>
        <w:pStyle w:val="Style51"/>
        <w:numPr>
          <w:ilvl w:val="1"/>
          <w:numId w:val="14"/>
        </w:numPr>
        <w:tabs>
          <w:tab w:val="clear" w:pos="420"/>
          <w:tab w:val="left" w:pos="0" w:leader="none"/>
        </w:tabs>
        <w:ind w:left="1418" w:firstLine="137"/>
        <w:rPr>
          <w:sz w:val="28"/>
          <w:szCs w:val="28"/>
        </w:rPr>
      </w:pPr>
      <w:r>
        <w:rPr>
          <w:sz w:val="28"/>
          <w:szCs w:val="28"/>
        </w:rPr>
        <w:t>当一次网格内道路数量少于</w:t>
      </w:r>
      <w:r>
        <w:rPr>
          <w:sz w:val="28"/>
          <w:szCs w:val="28"/>
        </w:rPr>
        <w:t>2048</w:t>
      </w:r>
      <w:r>
        <w:rPr>
          <w:sz w:val="28"/>
          <w:szCs w:val="28"/>
        </w:rPr>
        <w:t>条时，采用一次网格；否则，使用二次网格进行更细致的存储与管理。</w:t>
      </w:r>
    </w:p>
    <w:p>
      <w:pPr>
        <w:pStyle w:val="Style51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>
        <w:rPr>
          <w:sz w:val="28"/>
          <w:szCs w:val="28"/>
        </w:rPr>
        <w:t>网格数据组织框架</w:t>
      </w:r>
    </w:p>
    <w:p>
      <w:pPr>
        <w:pStyle w:val="Style51"/>
        <w:numPr>
          <w:ilvl w:val="0"/>
          <w:numId w:val="15"/>
        </w:numPr>
        <w:tabs>
          <w:tab w:val="clear" w:pos="420"/>
          <w:tab w:val="left" w:pos="0" w:leader="none"/>
        </w:tabs>
        <w:ind w:left="709" w:firstLine="137"/>
        <w:rPr/>
      </w:pPr>
      <w:r>
        <w:rPr>
          <w:rStyle w:val="Style17"/>
          <w:sz w:val="28"/>
          <w:szCs w:val="28"/>
        </w:rPr>
        <w:t>数据表结构</w:t>
      </w:r>
      <w:r>
        <w:rPr>
          <w:sz w:val="28"/>
          <w:szCs w:val="28"/>
        </w:rPr>
        <w:t xml:space="preserve">：在 </w:t>
      </w:r>
      <w:r>
        <w:rPr>
          <w:sz w:val="28"/>
          <w:szCs w:val="28"/>
        </w:rPr>
        <w:t xml:space="preserve">SQLite </w:t>
      </w:r>
      <w:r>
        <w:rPr>
          <w:sz w:val="28"/>
          <w:szCs w:val="28"/>
        </w:rPr>
        <w:t>中创建网格数据表，存储每个网格的基本信息，如网格编号、道路数量、结点数量、几何数据、拓扑关系等。</w:t>
      </w:r>
    </w:p>
    <w:p>
      <w:pPr>
        <w:pStyle w:val="Style51"/>
        <w:numPr>
          <w:ilvl w:val="0"/>
          <w:numId w:val="0"/>
        </w:numPr>
        <w:ind w:hanging="0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/>
        <w:t>sql</w:t>
      </w:r>
    </w:p>
    <w:p>
      <w:pPr>
        <w:pStyle w:val="Style51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360"/>
        <w:ind w:firstLine="562"/>
        <w:jc w:val="both"/>
        <w:rPr>
          <w:rFonts w:ascii="仿宋" w:hAnsi="仿宋" w:eastAsia="仿宋" w:cs="仿宋"/>
          <w:b/>
          <w:b/>
          <w:sz w:val="28"/>
          <w:szCs w:val="28"/>
          <w:lang w:val="en-US"/>
        </w:rPr>
      </w:pPr>
      <w:r>
        <w:rPr>
          <w:rFonts w:ascii="仿宋" w:hAnsi="仿宋" w:cs="仿宋" w:eastAsia="仿宋"/>
          <w:b/>
          <w:sz w:val="28"/>
          <w:szCs w:val="28"/>
        </w:rPr>
        <w:t>（一）</w:t>
      </w:r>
      <w:r>
        <w:rPr>
          <w:rFonts w:ascii="仿宋" w:hAnsi="仿宋" w:cs="仿宋" w:eastAsia="仿宋"/>
          <w:b/>
          <w:sz w:val="28"/>
          <w:szCs w:val="28"/>
          <w:lang w:val="en-US"/>
        </w:rPr>
        <w:t>数据采集和整合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0000FF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北斗卫星导航系统数据获取：获取北斗卫星系统提供的导航数据，</w:t>
      </w:r>
      <w:r>
        <w:rPr>
          <w:rFonts w:eastAsia="仿宋" w:cs="仿宋" w:ascii="仿宋" w:hAnsi="仿宋"/>
          <w:sz w:val="28"/>
          <w:szCs w:val="28"/>
          <w:lang w:val="en-US"/>
        </w:rPr>
        <w:t>GPS</w:t>
      </w:r>
      <w:r>
        <w:rPr>
          <w:rFonts w:ascii="仿宋" w:hAnsi="仿宋" w:cs="仿宋" w:eastAsia="仿宋"/>
          <w:sz w:val="28"/>
          <w:szCs w:val="28"/>
          <w:lang w:val="en-US"/>
        </w:rPr>
        <w:t>信息数据。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color w:val="0000FF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地理信息数据获取：收集地图数据、道路网络数据、地标数据等。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b/>
          <w:sz w:val="28"/>
          <w:szCs w:val="28"/>
        </w:rPr>
        <w:t>（二）</w:t>
      </w:r>
      <w:r>
        <w:rPr>
          <w:rFonts w:ascii="仿宋" w:hAnsi="仿宋" w:cs="仿宋" w:eastAsia="仿宋"/>
          <w:b/>
          <w:sz w:val="28"/>
          <w:szCs w:val="28"/>
          <w:lang w:val="en-US"/>
        </w:rPr>
        <w:t>数据清洗和验证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对北斗三号系统获取的卫星导航数据进行验证和清洗，确保数据的完整性和准确性。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eastAsia="仿宋" w:cs="仿宋" w:ascii="仿宋" w:hAnsi="仿宋"/>
          <w:sz w:val="28"/>
          <w:szCs w:val="28"/>
          <w:lang w:val="en-US"/>
        </w:rPr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cs="仿宋" w:eastAsia="仿宋"/>
          <w:sz w:val="28"/>
          <w:szCs w:val="28"/>
          <w:lang w:val="en-US"/>
        </w:rPr>
        <w:t>至此，实现导航坐标系下的智能终端位置速度等信息预测。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（三）路网建模和拓扑分析</w:t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/>
      </w:r>
    </w:p>
    <w:p>
      <w:pPr>
        <w:pStyle w:val="Normal"/>
        <w:snapToGrid w:val="false"/>
        <w:spacing w:lineRule="auto" w:line="360"/>
        <w:ind w:firstLine="562"/>
        <w:jc w:val="both"/>
        <w:rPr>
          <w:rFonts w:ascii="仿宋" w:hAnsi="仿宋" w:eastAsia="仿宋" w:cs="仿宋"/>
          <w:b/>
          <w:b/>
          <w:bCs/>
          <w:sz w:val="28"/>
          <w:szCs w:val="28"/>
          <w:lang w:val="en-US"/>
        </w:rPr>
      </w:pPr>
      <w:r>
        <w:rPr>
          <w:rFonts w:ascii="仿宋" w:hAnsi="仿宋" w:cs="仿宋" w:eastAsia="仿宋"/>
          <w:b/>
          <w:bCs/>
          <w:sz w:val="28"/>
          <w:szCs w:val="28"/>
          <w:lang w:val="en-US"/>
        </w:rPr>
        <w:t>（四）</w:t>
      </w:r>
    </w:p>
    <w:p>
      <w:pPr>
        <w:pStyle w:val="Style51"/>
        <w:spacing w:lineRule="auto" w:line="360"/>
        <w:ind w:firstLine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cs="仿宋" w:eastAsia="仿宋"/>
          <w:sz w:val="28"/>
          <w:szCs w:val="28"/>
        </w:rPr>
        <w:t>经过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eastAsia="仿宋"/>
          <w:sz w:val="28"/>
          <w:szCs w:val="28"/>
          <w:lang w:val="en-US"/>
        </w:rPr>
      </w:pPr>
      <w:r>
        <w:rPr>
          <w:rFonts w:ascii="仿宋" w:hAnsi="仿宋" w:cs="仿宋" w:eastAsia="仿宋"/>
          <w:kern w:val="2"/>
          <w:sz w:val="28"/>
          <w:szCs w:val="28"/>
          <w:lang w:val="en-US"/>
        </w:rPr>
        <w:t>对整周周跳进行修复，</w:t>
      </w:r>
      <w:r>
        <w:rPr>
          <w:rFonts w:ascii="仿宋" w:hAnsi="仿宋" w:cs="仿宋" w:eastAsia="仿宋"/>
          <w:sz w:val="28"/>
          <w:szCs w:val="28"/>
          <w:lang w:val="en-US"/>
        </w:rPr>
        <w:t>实现智能终端</w:t>
      </w:r>
      <w:r>
        <w:rPr>
          <w:rFonts w:eastAsia="仿宋" w:cs="仿宋" w:ascii="仿宋" w:hAnsi="仿宋"/>
          <w:sz w:val="28"/>
          <w:szCs w:val="28"/>
          <w:lang w:val="en-US"/>
        </w:rPr>
        <w:t>GNSS</w:t>
      </w:r>
      <w:r>
        <w:rPr>
          <w:rFonts w:ascii="仿宋" w:hAnsi="仿宋" w:cs="仿宋" w:eastAsia="仿宋"/>
          <w:sz w:val="28"/>
          <w:szCs w:val="28"/>
          <w:lang w:val="en-US"/>
        </w:rPr>
        <w:t>观测数据的优化及质量控制。</w:t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pacing w:lineRule="auto" w:line="36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  <w:lang w:val="en-AU"/>
        </w:rPr>
        <w:t>数据格式化和存储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ascii="仿宋" w:hAnsi="仿宋" w:cs="仿宋" w:eastAsia="仿宋"/>
          <w:sz w:val="28"/>
          <w:szCs w:val="28"/>
          <w:lang w:val="en-US"/>
        </w:rPr>
        <w:t>将处理过的数据格式化为适合北斗三号终端使用的数据结构。</w:t>
      </w:r>
    </w:p>
    <w:p>
      <w:pPr>
        <w:pStyle w:val="Normal"/>
        <w:snapToGrid w:val="false"/>
        <w:spacing w:lineRule="auto" w:line="360"/>
        <w:ind w:firstLine="56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eastAsia="仿宋" w:cs="仿宋" w:ascii="仿宋" w:hAnsi="仿宋"/>
          <w:sz w:val="28"/>
          <w:szCs w:val="28"/>
          <w:highlight w:val="yellow"/>
        </w:rPr>
      </w:r>
    </w:p>
    <w:p>
      <w:pPr>
        <w:pStyle w:val="Normal"/>
        <w:widowControl w:val="false"/>
        <w:numPr>
          <w:ilvl w:val="0"/>
          <w:numId w:val="2"/>
        </w:numPr>
        <w:tabs>
          <w:tab w:val="clear" w:pos="420"/>
          <w:tab w:val="left" w:pos="1260" w:leader="none"/>
        </w:tabs>
        <w:snapToGrid w:val="false"/>
        <w:spacing w:lineRule="auto" w:line="360"/>
        <w:ind w:left="1260" w:hanging="720"/>
        <w:jc w:val="both"/>
        <w:rPr>
          <w:rFonts w:ascii="仿宋" w:hAnsi="仿宋" w:eastAsia="仿宋" w:cs="仿宋"/>
          <w:b/>
          <w:b/>
          <w:sz w:val="28"/>
          <w:szCs w:val="28"/>
        </w:rPr>
      </w:pPr>
      <w:r>
        <w:rPr>
          <w:rFonts w:ascii="仿宋" w:hAnsi="仿宋" w:cs="仿宋" w:eastAsia="仿宋"/>
          <w:b/>
          <w:sz w:val="28"/>
          <w:szCs w:val="28"/>
          <w:lang w:val="en-AU"/>
        </w:rPr>
        <w:t>性能优化和测试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 xml:space="preserve">          </w:t>
      </w: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>对编译后的导航数据进行性能优化，确保数据访问和导航计算的效率。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 xml:space="preserve">         </w:t>
      </w: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>进行系统测试，验证导航数据的正确性和可用性，包括路径规划、模拟导航、导航引导的测试。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/>
      </w:r>
    </w:p>
    <w:p>
      <w:pPr>
        <w:pStyle w:val="3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2. </w:t>
      </w:r>
      <w:r>
        <w:rPr>
          <w:rStyle w:val="Style17"/>
        </w:rPr>
        <w:t>编译流程框架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2.1 </w:t>
      </w:r>
      <w:r>
        <w:rPr>
          <w:rStyle w:val="Style17"/>
        </w:rPr>
        <w:t>数据采集与整合</w:t>
      </w:r>
    </w:p>
    <w:p>
      <w:pPr>
        <w:pStyle w:val="Style21"/>
        <w:numPr>
          <w:ilvl w:val="0"/>
          <w:numId w:val="6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采集来源</w:t>
      </w:r>
      <w:r>
        <w:rPr/>
        <w:t>：通过北斗三号获取的实时定位数据与地理信息系统（</w:t>
      </w:r>
      <w:r>
        <w:rPr/>
        <w:t>GIS</w:t>
      </w:r>
      <w:r>
        <w:rPr/>
        <w:t>）提供的道路、建筑等基础数据。</w:t>
      </w:r>
    </w:p>
    <w:p>
      <w:pPr>
        <w:pStyle w:val="Style21"/>
        <w:numPr>
          <w:ilvl w:val="0"/>
          <w:numId w:val="6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整合策略</w:t>
      </w:r>
      <w:r>
        <w:rPr/>
        <w:t xml:space="preserve">：对来自不同数据源的数据进行坐标转换、标准化处理，统一使用 </w:t>
      </w:r>
      <w:r>
        <w:rPr/>
        <w:t xml:space="preserve">WGS 84 </w:t>
      </w:r>
      <w:r>
        <w:rPr/>
        <w:t>坐标系。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2.2 </w:t>
      </w:r>
      <w:r>
        <w:rPr>
          <w:rStyle w:val="Style17"/>
        </w:rPr>
        <w:t>数据清洗与验证</w:t>
      </w:r>
    </w:p>
    <w:p>
      <w:pPr>
        <w:pStyle w:val="Style21"/>
        <w:numPr>
          <w:ilvl w:val="0"/>
          <w:numId w:val="7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数据清洗</w:t>
      </w:r>
      <w:r>
        <w:rPr/>
        <w:t>：去除重复和无效的地理数据，修正拓扑错误，如断裂道路、孤立结点等。</w:t>
      </w:r>
    </w:p>
    <w:p>
      <w:pPr>
        <w:pStyle w:val="Style21"/>
        <w:numPr>
          <w:ilvl w:val="0"/>
          <w:numId w:val="7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数据验证</w:t>
      </w:r>
      <w:r>
        <w:rPr/>
        <w:t>：结合北斗三号终端设备测试，确保数据与现实世界的匹配精度。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2.3 </w:t>
      </w:r>
      <w:r>
        <w:rPr>
          <w:rStyle w:val="Style17"/>
        </w:rPr>
        <w:t>地理编码与逆地理编码</w:t>
      </w:r>
    </w:p>
    <w:p>
      <w:pPr>
        <w:pStyle w:val="Style21"/>
        <w:numPr>
          <w:ilvl w:val="0"/>
          <w:numId w:val="8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地理编码</w:t>
      </w:r>
      <w:r>
        <w:rPr/>
        <w:t>：将地址转化为经纬度坐标点。</w:t>
      </w:r>
    </w:p>
    <w:p>
      <w:pPr>
        <w:pStyle w:val="Style21"/>
        <w:numPr>
          <w:ilvl w:val="0"/>
          <w:numId w:val="8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逆地理编码</w:t>
      </w:r>
      <w:r>
        <w:rPr/>
        <w:t>：将坐标点转化为可识别的地理位置。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2.4 </w:t>
      </w:r>
      <w:r>
        <w:rPr>
          <w:rStyle w:val="Style17"/>
        </w:rPr>
        <w:t>路网建模与拓扑分析</w:t>
      </w:r>
    </w:p>
    <w:p>
      <w:pPr>
        <w:pStyle w:val="Style21"/>
        <w:numPr>
          <w:ilvl w:val="0"/>
          <w:numId w:val="9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路网建模</w:t>
      </w:r>
      <w:r>
        <w:rPr/>
        <w:t>：构建基于一次网格和二次网格的路网模型，按网格划分组织数据。</w:t>
      </w:r>
    </w:p>
    <w:p>
      <w:pPr>
        <w:pStyle w:val="Style21"/>
        <w:numPr>
          <w:ilvl w:val="0"/>
          <w:numId w:val="9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拓扑分析</w:t>
      </w:r>
      <w:r>
        <w:rPr/>
        <w:t>：生成路网的拓扑结构，定义道路之间的连接关系，支持路径规划和路段导航。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2.5 </w:t>
      </w:r>
      <w:r>
        <w:rPr>
          <w:rStyle w:val="Style17"/>
        </w:rPr>
        <w:t>数据格式化与存储</w:t>
      </w:r>
    </w:p>
    <w:p>
      <w:pPr>
        <w:pStyle w:val="Style21"/>
        <w:numPr>
          <w:ilvl w:val="0"/>
          <w:numId w:val="10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数据格式化</w:t>
      </w:r>
      <w:r>
        <w:rPr/>
        <w:t xml:space="preserve">：定义自有的 </w:t>
      </w:r>
      <w:r>
        <w:rPr/>
        <w:t xml:space="preserve">SQLite </w:t>
      </w:r>
      <w:r>
        <w:rPr/>
        <w:t>数据格式，用于存储道路、结点、弧段和拓扑结构。</w:t>
      </w:r>
    </w:p>
    <w:p>
      <w:pPr>
        <w:pStyle w:val="Style21"/>
        <w:numPr>
          <w:ilvl w:val="0"/>
          <w:numId w:val="10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数据存储</w:t>
      </w:r>
      <w:r>
        <w:rPr/>
        <w:t xml:space="preserve">：将所有地理数据和导航信息存储到 </w:t>
      </w:r>
      <w:r>
        <w:rPr/>
        <w:t xml:space="preserve">SQLite </w:t>
      </w:r>
      <w:r>
        <w:rPr/>
        <w:t>数据库中，配合索引加速检索。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2.6 </w:t>
      </w:r>
      <w:r>
        <w:rPr>
          <w:rStyle w:val="Style17"/>
        </w:rPr>
        <w:t>索引与优化</w:t>
      </w:r>
    </w:p>
    <w:p>
      <w:pPr>
        <w:pStyle w:val="Style21"/>
        <w:numPr>
          <w:ilvl w:val="0"/>
          <w:numId w:val="11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索引机制</w:t>
      </w:r>
      <w:r>
        <w:rPr/>
        <w:t>：为网格编号、道路编号、结点编号建立索引，提升数据查询速度。</w:t>
      </w:r>
    </w:p>
    <w:p>
      <w:pPr>
        <w:pStyle w:val="Style21"/>
        <w:numPr>
          <w:ilvl w:val="0"/>
          <w:numId w:val="11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压缩优化</w:t>
      </w:r>
      <w:r>
        <w:rPr/>
        <w:t>：对大规模地理数据进行压缩存储，减少数据体积，提升移动终端读取速度。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2.7 </w:t>
      </w:r>
      <w:r>
        <w:rPr>
          <w:rStyle w:val="Style17"/>
        </w:rPr>
        <w:t>数据更新与维护</w:t>
      </w:r>
    </w:p>
    <w:p>
      <w:pPr>
        <w:pStyle w:val="Style21"/>
        <w:numPr>
          <w:ilvl w:val="0"/>
          <w:numId w:val="12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动态更新</w:t>
      </w:r>
      <w:r>
        <w:rPr/>
        <w:t>：通过北斗三号系统获取实时数据，定期更新地理信息和道路数据。</w:t>
      </w:r>
    </w:p>
    <w:p>
      <w:pPr>
        <w:pStyle w:val="Style21"/>
        <w:numPr>
          <w:ilvl w:val="0"/>
          <w:numId w:val="12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数据维护</w:t>
      </w:r>
      <w:r>
        <w:rPr/>
        <w:t>：确保数据库的一致性和完整性，管理不同版本的导航数据。</w:t>
      </w:r>
    </w:p>
    <w:p>
      <w:pPr>
        <w:pStyle w:val="4"/>
        <w:rPr>
          <w:b w:val="false"/>
          <w:b w:val="false"/>
          <w:bCs w:val="false"/>
        </w:rPr>
      </w:pPr>
      <w:r>
        <w:rPr/>
        <w:t xml:space="preserve">2.8 </w:t>
      </w:r>
      <w:r>
        <w:rPr>
          <w:rStyle w:val="Style17"/>
        </w:rPr>
        <w:t>测试与性能评估</w:t>
      </w:r>
    </w:p>
    <w:p>
      <w:pPr>
        <w:pStyle w:val="Style21"/>
        <w:numPr>
          <w:ilvl w:val="0"/>
          <w:numId w:val="13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功能测试</w:t>
      </w:r>
      <w:r>
        <w:rPr/>
        <w:t>：验证导航数据在北斗三号终端设备上的表现，检查路径规划、定位精度。</w:t>
      </w:r>
    </w:p>
    <w:p>
      <w:pPr>
        <w:pStyle w:val="Style21"/>
        <w:numPr>
          <w:ilvl w:val="0"/>
          <w:numId w:val="13"/>
        </w:numPr>
        <w:tabs>
          <w:tab w:val="clear" w:pos="4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rStyle w:val="Style17"/>
        </w:rPr>
        <w:t>性能优化</w:t>
      </w:r>
      <w:r>
        <w:rPr/>
        <w:t xml:space="preserve">：对 </w:t>
      </w:r>
      <w:r>
        <w:rPr/>
        <w:t xml:space="preserve">SQLite </w:t>
      </w:r>
      <w:r>
        <w:rPr/>
        <w:t>数据库进行性能调优，确保移动终端上的快速响应和低功耗运行。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此技术方案通过使用 </w:t>
      </w:r>
      <w:r>
        <w:rPr>
          <w:b w:val="false"/>
          <w:bCs w:val="false"/>
        </w:rPr>
        <w:t xml:space="preserve">SQLite </w:t>
      </w:r>
      <w:r>
        <w:rPr>
          <w:b w:val="false"/>
          <w:bCs w:val="false"/>
        </w:rPr>
        <w:t>作为核心数据存储工具，结合北斗三号的卫星导航功能，构建了一套简化、低成本且高效的导航数据编译流程。方案设计支持灵活的导航数据更新与扩展，满足北斗三号移动终端的导航需求。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 xml:space="preserve"> </w:t>
      </w:r>
      <w:r>
        <w:rPr>
          <w:rStyle w:val="Style17"/>
          <w:rFonts w:ascii="仿宋" w:hAnsi="仿宋" w:cs="仿宋" w:eastAsia="仿宋"/>
          <w:sz w:val="28"/>
          <w:szCs w:val="28"/>
          <w:lang w:val="en-US"/>
        </w:rPr>
        <w:t>准备工作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 xml:space="preserve">SQLite </w:t>
      </w:r>
      <w:r>
        <w:rPr>
          <w:rStyle w:val="Style17"/>
        </w:rPr>
        <w:t>数据库选择</w:t>
      </w:r>
      <w:r>
        <w:rPr/>
        <w:t xml:space="preserve">: </w:t>
      </w:r>
      <w:r>
        <w:rPr/>
        <w:t xml:space="preserve">确定 </w:t>
      </w:r>
      <w:r>
        <w:rPr/>
        <w:t xml:space="preserve">SQLite </w:t>
      </w:r>
      <w:r>
        <w:rPr/>
        <w:t xml:space="preserve">作为导航数据的存储引擎，创建一个 </w:t>
      </w:r>
      <w:r>
        <w:rPr/>
        <w:t xml:space="preserve">SQLite </w:t>
      </w:r>
      <w:r>
        <w:rPr/>
        <w:t xml:space="preserve">数据库文件（如 </w:t>
      </w:r>
      <w:r>
        <w:rPr>
          <w:rStyle w:val="Style19"/>
        </w:rPr>
        <w:t>navigation_data.sqlite</w:t>
      </w:r>
      <w:r>
        <w:rPr/>
        <w:t>）。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工具选定</w:t>
      </w:r>
      <w:r>
        <w:rPr/>
        <w:t xml:space="preserve">: </w:t>
      </w:r>
      <w:r>
        <w:rPr/>
        <w:t xml:space="preserve">使用 </w:t>
      </w:r>
      <w:r>
        <w:rPr>
          <w:rStyle w:val="Style19"/>
        </w:rPr>
        <w:t>sqlite3</w:t>
      </w:r>
      <w:r>
        <w:rPr/>
        <w:t xml:space="preserve"> </w:t>
      </w:r>
      <w:r>
        <w:rPr/>
        <w:t xml:space="preserve">命令行工具或编程语言（如 </w:t>
      </w:r>
      <w:r>
        <w:rPr/>
        <w:t>Python</w:t>
      </w:r>
      <w:r>
        <w:rPr/>
        <w:t>）来执行数据库操作。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设计数据库结构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根据导航数据的组成，将数据划分为多个表，包括网格数据、结点、弧段、道路元素等。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编写创建数据表的 </w:t>
      </w:r>
      <w:r>
        <w:rPr/>
        <w:t xml:space="preserve">SQL </w:t>
      </w:r>
      <w:r>
        <w:rPr/>
        <w:t>脚本，定义表结构和字段（如主键、索引等）。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数据导入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处理原始数据（例如 </w:t>
      </w:r>
      <w:r>
        <w:rPr>
          <w:rStyle w:val="Style19"/>
        </w:rPr>
        <w:t>.shp</w:t>
      </w:r>
      <w:r>
        <w:rPr/>
        <w:t>、</w:t>
      </w:r>
      <w:r>
        <w:rPr/>
        <w:t xml:space="preserve">CSV </w:t>
      </w:r>
      <w:r>
        <w:rPr/>
        <w:t xml:space="preserve">等格式），并转换为 </w:t>
      </w:r>
      <w:r>
        <w:rPr/>
        <w:t xml:space="preserve">SQLite </w:t>
      </w:r>
      <w:r>
        <w:rPr/>
        <w:t>可接受的格式。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编写数据导入的 </w:t>
      </w:r>
      <w:r>
        <w:rPr/>
        <w:t xml:space="preserve">SQL </w:t>
      </w:r>
      <w:r>
        <w:rPr/>
        <w:t xml:space="preserve">脚本或工具程序，将数据加载到 </w:t>
      </w:r>
      <w:r>
        <w:rPr/>
        <w:t xml:space="preserve">SQLite </w:t>
      </w:r>
      <w:r>
        <w:rPr/>
        <w:t>数据库中。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进行批量数据导入和预处理操作，确保数据正确性。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数据编译逻辑设计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根据数据的依赖关系（如网格、结点、弧段间的关系），设计编译流程。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编写 </w:t>
      </w:r>
      <w:r>
        <w:rPr/>
        <w:t xml:space="preserve">SQL </w:t>
      </w:r>
      <w:r>
        <w:rPr/>
        <w:t>查询和更新语句，将多张表的数据进行整合与关联，生成所需的导航信息。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索引和优化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为高效查询和数据编译，设置必要的索引（如网格、结点和弧段的主键、外键等字段上）。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定期进行数据库优化，确保在大数据量下的性能。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验证和校验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编译完成后，通过查询验证数据的正确性，确保网格、道路、结点之间的逻辑关系正确。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处理可能的异常情况，如数据丢失或不完整的条目。</w:t>
      </w:r>
    </w:p>
    <w:p>
      <w:pPr>
        <w:pStyle w:val="Style21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输出与发布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根据需求导出编译后的 </w:t>
      </w:r>
      <w:r>
        <w:rPr/>
        <w:t xml:space="preserve">SQLite </w:t>
      </w:r>
      <w:r>
        <w:rPr/>
        <w:t>数据库，作为导航系统的基础数据文件。</w:t>
      </w:r>
    </w:p>
    <w:p>
      <w:pPr>
        <w:pStyle w:val="Style21"/>
        <w:numPr>
          <w:ilvl w:val="1"/>
          <w:numId w:val="3"/>
        </w:numPr>
        <w:tabs>
          <w:tab w:val="clear" w:pos="420"/>
          <w:tab w:val="left" w:pos="0" w:leader="none"/>
        </w:tabs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如果需要，可以将部分数据转换为其他格式（如 </w:t>
      </w:r>
      <w:r>
        <w:rPr/>
        <w:t>GeoJSON</w:t>
      </w:r>
      <w:r>
        <w:rPr/>
        <w:t>、</w:t>
      </w:r>
      <w:r>
        <w:rPr/>
        <w:t>CSV</w:t>
      </w:r>
      <w:r>
        <w:rPr/>
        <w:t>）用于其他应用场景。</w:t>
      </w:r>
    </w:p>
    <w:p>
      <w:pPr>
        <w:pStyle w:val="Style21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这是导航数据编译的整体步骤</w:t>
      </w:r>
    </w:p>
    <w:p>
      <w:pPr>
        <w:pStyle w:val="3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 xml:space="preserve">导航数据编译方案步骤（基于网格规则使用 </w:t>
      </w:r>
      <w:r>
        <w:rPr>
          <w:rFonts w:eastAsia="仿宋" w:cs="仿宋" w:ascii="仿宋" w:hAnsi="仿宋"/>
          <w:b w:val="false"/>
          <w:bCs w:val="false"/>
          <w:sz w:val="28"/>
          <w:szCs w:val="28"/>
          <w:lang w:val="en-US"/>
        </w:rPr>
        <w:t>SQLite</w:t>
      </w: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>）</w:t>
      </w:r>
    </w:p>
    <w:p>
      <w:pPr>
        <w:pStyle w:val="4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1. </w:t>
      </w:r>
      <w:r>
        <w:rPr>
          <w:rStyle w:val="Style17"/>
        </w:rPr>
        <w:t>数据导入与网格规则设计</w:t>
      </w:r>
    </w:p>
    <w:p>
      <w:pPr>
        <w:pStyle w:val="Style21"/>
        <w:numPr>
          <w:ilvl w:val="0"/>
          <w:numId w:val="4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区域网格划分</w:t>
      </w:r>
      <w:r>
        <w:rPr/>
        <w:t xml:space="preserve">: </w:t>
      </w:r>
      <w:r>
        <w:rPr/>
        <w:t xml:space="preserve">全国数据采用一次网格或二次网格进行组织。每个区域的网格数据会按照网格编号（如 </w:t>
      </w:r>
      <w:r>
        <w:rPr>
          <w:rStyle w:val="Style19"/>
        </w:rPr>
        <w:t>2713</w:t>
      </w:r>
      <w:r>
        <w:rPr/>
        <w:t xml:space="preserve"> </w:t>
      </w:r>
      <w:r>
        <w:rPr/>
        <w:t>为左下角网格）进行数据分块。</w:t>
      </w:r>
    </w:p>
    <w:p>
      <w:pPr>
        <w:pStyle w:val="Style21"/>
        <w:numPr>
          <w:ilvl w:val="1"/>
          <w:numId w:val="4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规则：当一次网格内道路数量 </w:t>
      </w:r>
      <w:r>
        <w:rPr/>
        <w:t xml:space="preserve">&lt; 2048 </w:t>
      </w:r>
      <w:r>
        <w:rPr/>
        <w:t>时，采用一次网格；否则，采用二次网格。</w:t>
      </w:r>
    </w:p>
    <w:p>
      <w:pPr>
        <w:pStyle w:val="Style21"/>
        <w:numPr>
          <w:ilvl w:val="0"/>
          <w:numId w:val="4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统计数据导入</w:t>
      </w:r>
      <w:r>
        <w:rPr/>
        <w:t>:</w:t>
      </w:r>
    </w:p>
    <w:p>
      <w:pPr>
        <w:pStyle w:val="Style21"/>
        <w:numPr>
          <w:ilvl w:val="1"/>
          <w:numId w:val="4"/>
        </w:numPr>
        <w:tabs>
          <w:tab w:val="clear" w:pos="420"/>
          <w:tab w:val="left" w:pos="0" w:leader="none"/>
        </w:tabs>
        <w:spacing w:before="0" w:after="0"/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将统计的有效一次网格（</w:t>
      </w:r>
      <w:r>
        <w:rPr/>
        <w:t>1425</w:t>
      </w:r>
      <w:r>
        <w:rPr/>
        <w:t>个）和有效二次网格（</w:t>
      </w:r>
      <w:r>
        <w:rPr/>
        <w:t>55469</w:t>
      </w:r>
      <w:r>
        <w:rPr/>
        <w:t xml:space="preserve">个）导入 </w:t>
      </w:r>
      <w:r>
        <w:rPr/>
        <w:t xml:space="preserve">SQLite </w:t>
      </w:r>
      <w:r>
        <w:rPr/>
        <w:t>数据库，创建表存储这些网格和相应的道路规模。</w:t>
      </w:r>
    </w:p>
    <w:p>
      <w:pPr>
        <w:pStyle w:val="Style21"/>
        <w:numPr>
          <w:ilvl w:val="1"/>
          <w:numId w:val="4"/>
        </w:numPr>
        <w:tabs>
          <w:tab w:val="clear" w:pos="420"/>
          <w:tab w:val="left" w:pos="0" w:leader="none"/>
        </w:tabs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处理过程中，需要对 </w:t>
      </w:r>
      <w:r>
        <w:rPr>
          <w:rStyle w:val="Style19"/>
        </w:rPr>
        <w:t>.shp</w:t>
      </w:r>
      <w:r>
        <w:rPr/>
        <w:t xml:space="preserve"> </w:t>
      </w:r>
      <w:r>
        <w:rPr/>
        <w:t>文件、</w:t>
      </w:r>
      <w:r>
        <w:rPr/>
        <w:t xml:space="preserve">CSV </w:t>
      </w:r>
      <w:r>
        <w:rPr/>
        <w:t xml:space="preserve">数据等进行转换，方便导入 </w:t>
      </w:r>
      <w:r>
        <w:rPr/>
        <w:t>SQLite</w:t>
      </w:r>
      <w:r>
        <w:rPr/>
        <w:t>。</w:t>
      </w:r>
    </w:p>
    <w:p>
      <w:pPr>
        <w:pStyle w:val="4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2. </w:t>
      </w:r>
      <w:r>
        <w:rPr>
          <w:rStyle w:val="Style17"/>
        </w:rPr>
        <w:t>网格选择逻辑</w:t>
      </w:r>
    </w:p>
    <w:p>
      <w:pPr>
        <w:pStyle w:val="Style21"/>
        <w:numPr>
          <w:ilvl w:val="0"/>
          <w:numId w:val="5"/>
        </w:numPr>
        <w:tabs>
          <w:tab w:val="clear" w:pos="420"/>
          <w:tab w:val="left" w:pos="0" w:leader="none"/>
        </w:tabs>
        <w:spacing w:before="0" w:after="0"/>
        <w:ind w:left="709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网格选择条件</w:t>
      </w:r>
      <w:r>
        <w:rPr/>
        <w:t>:</w:t>
      </w:r>
    </w:p>
    <w:p>
      <w:pPr>
        <w:pStyle w:val="Style21"/>
        <w:numPr>
          <w:ilvl w:val="1"/>
          <w:numId w:val="5"/>
        </w:numPr>
        <w:tabs>
          <w:tab w:val="clear" w:pos="420"/>
          <w:tab w:val="left" w:pos="0" w:leader="none"/>
        </w:tabs>
        <w:ind w:left="1418" w:hanging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在导入的网格表中，编写 </w:t>
      </w:r>
      <w:r>
        <w:rPr/>
        <w:t xml:space="preserve">SQL </w:t>
      </w:r>
      <w:r>
        <w:rPr/>
        <w:t>查询来筛选满足条件的网格：</w:t>
      </w:r>
    </w:p>
    <w:p>
      <w:pPr>
        <w:pStyle w:val="Style28"/>
        <w:numPr>
          <w:ilvl w:val="0"/>
          <w:numId w:val="0"/>
        </w:numPr>
        <w:spacing w:before="0" w:after="283"/>
        <w:ind w:left="0" w:hanging="0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sql</w:t>
      </w:r>
    </w:p>
    <w:p>
      <w:pPr>
        <w:pStyle w:val="3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Fonts w:eastAsia="仿宋" w:cs="仿宋" w:ascii="仿宋" w:hAnsi="仿宋"/>
          <w:b w:val="false"/>
          <w:bCs w:val="false"/>
          <w:sz w:val="28"/>
          <w:szCs w:val="28"/>
          <w:lang w:val="en-US"/>
        </w:rPr>
        <w:t xml:space="preserve">4.1 </w:t>
      </w: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 xml:space="preserve">基础道路数据组织方案（基于 </w:t>
      </w:r>
      <w:r>
        <w:rPr>
          <w:rFonts w:eastAsia="仿宋" w:cs="仿宋" w:ascii="仿宋" w:hAnsi="仿宋"/>
          <w:b w:val="false"/>
          <w:bCs w:val="false"/>
          <w:sz w:val="28"/>
          <w:szCs w:val="28"/>
          <w:lang w:val="en-US"/>
        </w:rPr>
        <w:t>SQLite</w:t>
      </w:r>
      <w:r>
        <w:rPr>
          <w:rFonts w:ascii="仿宋" w:hAnsi="仿宋" w:cs="仿宋" w:eastAsia="仿宋"/>
          <w:b w:val="false"/>
          <w:bCs w:val="false"/>
          <w:sz w:val="28"/>
          <w:szCs w:val="28"/>
          <w:lang w:val="en-US"/>
        </w:rPr>
        <w:t>）</w:t>
      </w:r>
    </w:p>
    <w:p>
      <w:pPr>
        <w:pStyle w:val="4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1. </w:t>
      </w:r>
      <w:r>
        <w:rPr>
          <w:rStyle w:val="Style17"/>
        </w:rPr>
        <w:t>网格内管理信息结构设计</w:t>
      </w:r>
    </w:p>
    <w:p>
      <w:pPr>
        <w:pStyle w:val="Style21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 xml:space="preserve">在 </w:t>
      </w:r>
      <w:r>
        <w:rPr/>
        <w:t xml:space="preserve">SQLite </w:t>
      </w:r>
      <w:r>
        <w:rPr/>
        <w:t>中设计基础道路数据的存储表结构，按照网格划分进行管理，存储相关信息如结点数量、道路元素数量等。</w:t>
      </w:r>
    </w:p>
    <w:p>
      <w:pPr>
        <w:pStyle w:val="Style21"/>
        <w:rPr>
          <w:rFonts w:ascii="仿宋" w:hAnsi="仿宋" w:eastAsia="仿宋" w:cs="仿宋"/>
          <w:sz w:val="28"/>
          <w:szCs w:val="28"/>
          <w:highlight w:val="yellow"/>
        </w:rPr>
      </w:pPr>
      <w:r>
        <w:rPr>
          <w:rStyle w:val="Style17"/>
        </w:rPr>
        <w:t>数据表设计</w:t>
      </w:r>
      <w:r>
        <w:rPr/>
        <w:t>：</w:t>
      </w:r>
    </w:p>
    <w:p>
      <w:pPr>
        <w:pStyle w:val="Style28"/>
        <w:spacing w:before="0" w:after="283"/>
        <w:rPr>
          <w:rFonts w:ascii="仿宋" w:hAnsi="仿宋" w:eastAsia="仿宋" w:cs="仿宋"/>
          <w:sz w:val="28"/>
          <w:szCs w:val="28"/>
          <w:highlight w:val="yellow"/>
        </w:rPr>
      </w:pPr>
      <w:r>
        <w:rPr/>
        <w:t>sql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420"/>
          <w:tab w:val="left" w:pos="1260" w:leader="none"/>
        </w:tabs>
        <w:snapToGrid w:val="false"/>
        <w:spacing w:lineRule="auto" w:line="360"/>
        <w:ind w:left="0" w:hanging="0"/>
        <w:jc w:val="both"/>
        <w:rPr>
          <w:rFonts w:ascii="仿宋" w:hAnsi="仿宋" w:eastAsia="仿宋" w:cs="仿宋"/>
          <w:sz w:val="28"/>
          <w:szCs w:val="28"/>
          <w:highlight w:val="yellow"/>
        </w:rPr>
      </w:pPr>
      <w:r>
        <w:rPr/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仿宋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chineseCountingThousand"/>
      <w:lvlText w:val="%1、"/>
      <w:lvlJc w:val="left"/>
      <w:pPr>
        <w:tabs>
          <w:tab w:val="num" w:pos="1440"/>
        </w:tabs>
        <w:ind w:left="1440" w:hanging="720"/>
      </w:pPr>
      <w:rPr>
        <w:color w:val="auto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  <w:rPr/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  <w:rPr/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宋体" w:cs="Times New Roman"/>
      <w:color w:val="auto"/>
      <w:kern w:val="0"/>
      <w:sz w:val="20"/>
      <w:szCs w:val="20"/>
      <w:lang w:val="en-AU" w:eastAsia="zh-CN" w:bidi="ar-SA"/>
    </w:rPr>
  </w:style>
  <w:style w:type="paragraph" w:styleId="3">
    <w:name w:val="Heading 3"/>
    <w:basedOn w:val="Style20"/>
    <w:next w:val="Style21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paragraph" w:styleId="4">
    <w:name w:val="Heading 4"/>
    <w:basedOn w:val="Style20"/>
    <w:next w:val="Style21"/>
    <w:qFormat/>
    <w:pPr>
      <w:spacing w:before="120" w:after="120"/>
      <w:outlineLvl w:val="3"/>
    </w:pPr>
    <w:rPr>
      <w:rFonts w:ascii="Liberation Serif" w:hAnsi="Liberation Serif" w:eastAsia="Noto Serif CJK SC" w:cs="Noto Sans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占位符文本1"/>
    <w:basedOn w:val="DefaultParagraphFont"/>
    <w:uiPriority w:val="99"/>
    <w:semiHidden/>
    <w:qFormat/>
    <w:rPr>
      <w:color w:val="808080"/>
    </w:rPr>
  </w:style>
  <w:style w:type="character" w:styleId="Style12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kern w:val="0"/>
      <w:sz w:val="18"/>
      <w:szCs w:val="18"/>
      <w:lang w:val="en-AU"/>
    </w:rPr>
  </w:style>
  <w:style w:type="character" w:styleId="Style13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kern w:val="0"/>
      <w:sz w:val="18"/>
      <w:szCs w:val="18"/>
      <w:lang w:val="en-A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b2c56"/>
    <w:rPr>
      <w:sz w:val="21"/>
      <w:szCs w:val="21"/>
    </w:rPr>
  </w:style>
  <w:style w:type="character" w:styleId="Style14" w:customStyle="1">
    <w:name w:val="批注文字 字符"/>
    <w:basedOn w:val="DefaultParagraphFont"/>
    <w:link w:val="Annotationtext"/>
    <w:uiPriority w:val="99"/>
    <w:semiHidden/>
    <w:qFormat/>
    <w:rsid w:val="008b2c56"/>
    <w:rPr>
      <w:lang w:val="en-AU"/>
    </w:rPr>
  </w:style>
  <w:style w:type="character" w:styleId="Style15" w:customStyle="1">
    <w:name w:val="批注主题 字符"/>
    <w:basedOn w:val="Style14"/>
    <w:link w:val="Annotationsubject"/>
    <w:uiPriority w:val="99"/>
    <w:semiHidden/>
    <w:qFormat/>
    <w:rsid w:val="008b2c56"/>
    <w:rPr>
      <w:b/>
      <w:bCs/>
      <w:lang w:val="en-AU"/>
    </w:rPr>
  </w:style>
  <w:style w:type="character" w:styleId="Style16">
    <w:name w:val="编号符号"/>
    <w:qFormat/>
    <w:rPr/>
  </w:style>
  <w:style w:type="character" w:styleId="Style17">
    <w:name w:val="特别强调"/>
    <w:qFormat/>
    <w:rPr>
      <w:b/>
      <w:bCs/>
    </w:rPr>
  </w:style>
  <w:style w:type="character" w:styleId="Style18">
    <w:name w:val="项目符号"/>
    <w:qFormat/>
    <w:rPr>
      <w:rFonts w:ascii="OpenSymbol" w:hAnsi="OpenSymbol" w:eastAsia="OpenSymbol" w:cs="OpenSymbol"/>
    </w:rPr>
  </w:style>
  <w:style w:type="character" w:styleId="Style19">
    <w:name w:val="源文本"/>
    <w:qFormat/>
    <w:rPr>
      <w:rFonts w:ascii="Liberation Mono" w:hAnsi="Liberation Mono" w:eastAsia="Noto Sans Mono CJK SC" w:cs="Liberation Mono"/>
    </w:rPr>
  </w:style>
  <w:style w:type="paragraph" w:styleId="Style20">
    <w:name w:val="标题样式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Noto Sans CJK SC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4">
    <w:name w:val="索引"/>
    <w:basedOn w:val="Normal"/>
    <w:qFormat/>
    <w:pPr>
      <w:suppressLineNumbers/>
    </w:pPr>
    <w:rPr>
      <w:rFonts w:cs="Noto Sans CJK SC"/>
    </w:rPr>
  </w:style>
  <w:style w:type="paragraph" w:styleId="Annotationtext">
    <w:name w:val="annotation text"/>
    <w:basedOn w:val="Normal"/>
    <w:link w:val="Style14"/>
    <w:uiPriority w:val="99"/>
    <w:semiHidden/>
    <w:unhideWhenUsed/>
    <w:qFormat/>
    <w:pPr/>
    <w:rPr/>
  </w:style>
  <w:style w:type="paragraph" w:styleId="Style25">
    <w:name w:val="页眉与页脚"/>
    <w:basedOn w:val="Normal"/>
    <w:qFormat/>
    <w:pPr/>
    <w:rPr/>
  </w:style>
  <w:style w:type="paragraph" w:styleId="Style26">
    <w:name w:val="Footer"/>
    <w:basedOn w:val="Normal"/>
    <w:link w:val="Style13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27">
    <w:name w:val="Header"/>
    <w:basedOn w:val="Normal"/>
    <w:link w:val="Style12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CharChar" w:customStyle="1">
    <w:name w:val="Char Char Char"/>
    <w:basedOn w:val="Normal"/>
    <w:semiHidden/>
    <w:qFormat/>
    <w:pPr>
      <w:widowControl w:val="false"/>
      <w:jc w:val="both"/>
    </w:pPr>
    <w:rPr>
      <w:rFonts w:cs="宋体"/>
      <w:kern w:val="2"/>
      <w:sz w:val="24"/>
      <w:lang w:val="en-US"/>
    </w:rPr>
  </w:style>
  <w:style w:type="paragraph" w:styleId="Style51" w:customStyle="1">
    <w:name w:val="_Style 5"/>
    <w:basedOn w:val="Normal"/>
    <w:next w:val="11"/>
    <w:uiPriority w:val="34"/>
    <w:qFormat/>
    <w:pPr>
      <w:widowControl w:val="false"/>
      <w:ind w:firstLine="420"/>
      <w:jc w:val="both"/>
    </w:pPr>
    <w:rPr>
      <w:rFonts w:ascii="Calibri" w:hAnsi="Calibri"/>
      <w:kern w:val="2"/>
      <w:sz w:val="21"/>
      <w:szCs w:val="22"/>
      <w:lang w:val="en-US"/>
    </w:rPr>
  </w:style>
  <w:style w:type="paragraph" w:styleId="11" w:customStyle="1">
    <w:name w:val="列表段落1"/>
    <w:basedOn w:val="Normal"/>
    <w:uiPriority w:val="34"/>
    <w:qFormat/>
    <w:pPr>
      <w:ind w:firstLine="420"/>
    </w:pPr>
    <w:rPr/>
  </w:style>
  <w:style w:type="paragraph" w:styleId="Annotationsubject">
    <w:name w:val="annotation subject"/>
    <w:basedOn w:val="Annotationtext"/>
    <w:next w:val="Annotationtext"/>
    <w:link w:val="Style15"/>
    <w:uiPriority w:val="99"/>
    <w:semiHidden/>
    <w:unhideWhenUsed/>
    <w:qFormat/>
    <w:rsid w:val="008b2c56"/>
    <w:pPr/>
    <w:rPr>
      <w:b/>
      <w:bCs/>
    </w:rPr>
  </w:style>
  <w:style w:type="paragraph" w:styleId="Style28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LibreOffice/7.3.7.2$Linux_X86_64 LibreOffice_project/30$Build-2</Application>
  <AppVersion>15.0000</AppVersion>
  <Pages>8</Pages>
  <Words>2911</Words>
  <Characters>3161</Characters>
  <CharactersWithSpaces>3253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2022-02-21T13:32:00Z</dcterms:created>
  <dc:creator>huang yaqiong</dc:creator>
  <dc:description/>
  <dc:language>zh-CN</dc:language>
  <cp:lastModifiedBy/>
  <dcterms:modified xsi:type="dcterms:W3CDTF">2024-09-19T15:44:52Z</dcterms:modified>
  <cp:revision>234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CBC2125D689F4EBEA02301B0FA94D2EB_12</vt:lpwstr>
  </property>
  <property fmtid="{D5CDD505-2E9C-101B-9397-08002B2CF9AE}" pid="3" name="KSOProductBuildVer">
    <vt:lpwstr>2052-11.1.0.14309</vt:lpwstr>
  </property>
</Properties>
</file>