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黑体" w:hAnsi="黑体"/>
          <w:b/>
          <w:color w:val="1F3A6B"/>
          <w:sz w:val="30"/>
        </w:rPr>
        <w:t>目录</w:t>
      </w:r>
    </w:p>
    <w:p>
      <w:pPr>
        <w:pStyle w:val="ListBullet"/>
      </w:pPr>
      <w:r>
        <w:t>[一、文档信息](#一文档信息)</w:t>
      </w:r>
    </w:p>
    <w:p>
      <w:pPr>
        <w:pStyle w:val="ListBullet"/>
      </w:pPr>
      <w:r>
        <w:t>[二、项目概述](#二项目概述)</w:t>
      </w:r>
    </w:p>
    <w:p>
      <w:pPr>
        <w:pStyle w:val="ListBullet"/>
      </w:pPr>
      <w:r>
        <w:t>[2.1 项目背景](#21-项目背景)</w:t>
      </w:r>
    </w:p>
    <w:p>
      <w:pPr>
        <w:pStyle w:val="ListBullet"/>
      </w:pPr>
      <w:r>
        <w:t>[2.2 项目建设目标](#22-项目建设目标)</w:t>
      </w:r>
    </w:p>
    <w:p>
      <w:pPr>
        <w:pStyle w:val="ListBullet"/>
      </w:pPr>
      <w:r>
        <w:t>[2.3 项目建设范围](#23-项目建设范围)</w:t>
      </w:r>
    </w:p>
    <w:p>
      <w:pPr>
        <w:pStyle w:val="ListBullet"/>
      </w:pPr>
      <w:r>
        <w:t>[2.4 业务流程概述](#24-业务流程概述)</w:t>
      </w:r>
    </w:p>
    <w:p>
      <w:pPr>
        <w:pStyle w:val="ListBullet"/>
      </w:pPr>
      <w:r>
        <w:t>[2.5 用户角色定义](#25-用户角色定义)</w:t>
      </w:r>
    </w:p>
    <w:p>
      <w:pPr>
        <w:pStyle w:val="ListBullet"/>
      </w:pPr>
      <w:r>
        <w:t>[2.6 需求分析](#26-需求分析)</w:t>
      </w:r>
    </w:p>
    <w:p>
      <w:pPr>
        <w:pStyle w:val="ListBullet"/>
      </w:pPr>
      <w:r>
        <w:t>[三、项目建设内容](#三项目建设内容)</w:t>
      </w:r>
    </w:p>
    <w:p>
      <w:pPr>
        <w:pStyle w:val="ListBullet"/>
      </w:pPr>
      <w:r>
        <w:t>[3.1 总体功能架构](#31-总体功能架构)</w:t>
      </w:r>
    </w:p>
    <w:p>
      <w:pPr>
        <w:pStyle w:val="ListBullet"/>
      </w:pPr>
      <w:r>
        <w:t>[3.2 页面访问权限](#32-页面访问权限)</w:t>
      </w:r>
    </w:p>
    <w:p>
      <w:pPr>
        <w:pStyle w:val="ListBullet"/>
      </w:pPr>
      <w:r>
        <w:t>[3.3 功能详细设计](#33-功能详细设计)</w:t>
      </w:r>
    </w:p>
    <w:p>
      <w:pPr>
        <w:pStyle w:val="ListBullet"/>
      </w:pPr>
      <w:r>
        <w:t>[四、技术方案](#四技术方案)</w:t>
      </w:r>
    </w:p>
    <w:p>
      <w:pPr>
        <w:pStyle w:val="ListBullet"/>
      </w:pPr>
      <w:r>
        <w:t>[五、非功能需求](#五非功能需求)</w:t>
      </w:r>
    </w:p>
    <w:p>
      <w:pPr>
        <w:pStyle w:val="ListBullet"/>
      </w:pPr>
      <w:r>
        <w:t>[六、数据需求](#六数据需求)</w:t>
      </w:r>
    </w:p>
    <w:p>
      <w:pPr>
        <w:pStyle w:val="ListBullet"/>
      </w:pPr>
      <w:r>
        <w:t>[七、项目实施与验收](#七项目实施与验收)</w:t>
      </w:r>
    </w:p>
    <w:p>
      <w:pPr>
        <w:pStyle w:val="ListBullet"/>
      </w:pPr>
      <w:r>
        <w:t>[八、附录](#八附录)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黑体" w:hAnsi="黑体"/>
          <w:b/>
          <w:color w:val="1F3A6B"/>
          <w:sz w:val="30"/>
        </w:rPr>
        <w:t>一、文档信息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项目编号</w:t>
            </w:r>
          </w:p>
        </w:tc>
        <w:tc>
          <w:tcPr>
            <w:tcW w:type="dxa" w:w="4323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ZHSW-2026-001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项目名称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智慧水务平台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文档名称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需求说明书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文档版本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V1.0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编制日期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2026-03-30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编制人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智慧水务研发团队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审核人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批准人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客户单位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环保集团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编制单位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智慧水务研发团队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适用范围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智慧水务平台 Web 管理系统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核心目标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构建支持逻辑多租户的智慧水务一体化运营管理平台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文档状态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草稿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黑体" w:hAnsi="黑体"/>
          <w:b/>
          <w:color w:val="1F3A6B"/>
          <w:sz w:val="30"/>
        </w:rPr>
        <w:t>二、项目概述</w:t>
      </w:r>
    </w:p>
    <w:p>
      <w:pPr>
        <w:pStyle w:val="Heading3"/>
      </w:pPr>
      <w:r>
        <w:rPr>
          <w:rFonts w:ascii="黑体" w:hAnsi="黑体"/>
          <w:b/>
          <w:color w:val="1F3A6B"/>
          <w:sz w:val="26"/>
        </w:rPr>
        <w:t>2.1 项目背景</w:t>
      </w:r>
    </w:p>
    <w:p>
      <w:r>
        <w:t>随着城市化进程加快，水务行业面临供水规模扩大、设备老化、运营分散、数据孤岛等挑战。现有各水务子公司普遍存在以下问题：</w:t>
      </w:r>
    </w:p>
    <w:p>
      <w:pPr>
        <w:pStyle w:val="ListBullet"/>
      </w:pPr>
      <w:r>
        <w:t>设备台账分散，缺乏统一的设备全生命周期管理；</w:t>
      </w:r>
    </w:p>
    <w:p>
      <w:pPr>
        <w:pStyle w:val="ListBullet"/>
      </w:pPr>
      <w:r>
        <w:t>监测数据未集中管理，告警响应滞后；</w:t>
      </w:r>
    </w:p>
    <w:p>
      <w:pPr>
        <w:pStyle w:val="ListBullet"/>
      </w:pPr>
      <w:r>
        <w:t>生产运营依赖纸质记录，效率低下；</w:t>
      </w:r>
    </w:p>
    <w:p>
      <w:pPr>
        <w:pStyle w:val="ListBullet"/>
      </w:pPr>
      <w:r>
        <w:t>集团层面无法实时掌握各子公司运营状况，决策缺乏数据支撑；</w:t>
      </w:r>
    </w:p>
    <w:p>
      <w:pPr>
        <w:pStyle w:val="ListBullet"/>
      </w:pPr>
      <w:r>
        <w:t>安全隐患排查缺乏系统化管理工具。</w:t>
      </w:r>
    </w:p>
    <w:p>
      <w:r>
        <w:t>为解决上述问题，建设一套覆盖设备管理、监测管理、生产管理、安全管理、物资管理、经营管理、管网管理、AI 智能助手的智慧水务平台，支持集团级多租户数据汇聚与跨公司对比分析，实现水务运营的数字化、智能化转型。</w:t>
      </w:r>
    </w:p>
    <w:p>
      <w:pPr>
        <w:pStyle w:val="Heading3"/>
      </w:pPr>
      <w:r>
        <w:rPr>
          <w:rFonts w:ascii="黑体" w:hAnsi="黑体"/>
          <w:b/>
          <w:color w:val="1F3A6B"/>
          <w:sz w:val="26"/>
        </w:rPr>
        <w:t>2.2 项目建设目标</w:t>
      </w:r>
    </w:p>
    <w:p>
      <w:pPr>
        <w:pStyle w:val="ListNumber"/>
      </w:pPr>
      <w:r>
        <w:rPr>
          <w:b/>
        </w:rPr>
        <w:t>统一数据平台</w:t>
      </w:r>
      <w:r>
        <w:t>：构建集团统一的数据管理平台，实现各子公司数据的集中汇聚与跨租户对比分析；</w:t>
      </w:r>
    </w:p>
    <w:p>
      <w:pPr>
        <w:pStyle w:val="ListNumber"/>
      </w:pPr>
      <w:r>
        <w:rPr>
          <w:b/>
        </w:rPr>
        <w:t>设备全生命周期管理</w:t>
      </w:r>
      <w:r>
        <w:t>：覆盖设备从登记、日常维护、缺陷处理、评估到大修更换的完整闭环管理；</w:t>
      </w:r>
    </w:p>
    <w:p>
      <w:pPr>
        <w:pStyle w:val="ListNumber"/>
      </w:pPr>
      <w:r>
        <w:rPr>
          <w:b/>
        </w:rPr>
        <w:t>实时监测预警</w:t>
      </w:r>
      <w:r>
        <w:t>：建立监测数据实时采集、分析、告警的完整链路，提升异常响应速度；</w:t>
      </w:r>
    </w:p>
    <w:p>
      <w:pPr>
        <w:pStyle w:val="ListNumber"/>
      </w:pPr>
      <w:r>
        <w:rPr>
          <w:b/>
        </w:rPr>
        <w:t>生产运营规范化</w:t>
      </w:r>
      <w:r>
        <w:t>：通过工单、值班、两票、交接班等数字化手段，规范生产运营流程；</w:t>
      </w:r>
    </w:p>
    <w:p>
      <w:pPr>
        <w:pStyle w:val="ListNumber"/>
      </w:pPr>
      <w:r>
        <w:rPr>
          <w:b/>
        </w:rPr>
        <w:t>智能辅助决策</w:t>
      </w:r>
      <w:r>
        <w:t>：引入 AI 智能助手，支持自然语言查询、异常预警分析和自动报表生成。</w:t>
      </w:r>
    </w:p>
    <w:p>
      <w:pPr>
        <w:pStyle w:val="Heading3"/>
      </w:pPr>
      <w:r>
        <w:rPr>
          <w:rFonts w:ascii="黑体" w:hAnsi="黑体"/>
          <w:b/>
          <w:color w:val="1F3A6B"/>
          <w:sz w:val="26"/>
        </w:rPr>
        <w:t>2.3 项目建设范围</w:t>
      </w:r>
    </w:p>
    <w:p>
      <w:r>
        <w:rPr>
          <w:b/>
        </w:rPr>
        <w:t>本期建设范围（Web 管理系统）：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4323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驾驶舱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集团看板 + 租户数据对比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设备管理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设备台账、缺陷、评估、项目管理、维护规程、展示分析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监测管理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监测配置、数据管理、视频监控、报警管理、数据分析、一张图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生产管理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工单、场景、两票、值班、交接班、工艺可视化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安全管理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隐患排查、安全巡检、应急预案、事故记录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物资管理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仓库、采购、库存、出入库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经营管理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项目管理、日/周/月报、计划执行分析、年度计划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管网管理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GIS、漏损分析、巡检、档案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AI 智能助手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智能对话、预警看板、数据分析报告</w:t>
            </w:r>
          </w:p>
        </w:tc>
      </w:tr>
    </w:tbl>
    <w:p/>
    <w:p>
      <w:r>
        <w:rPr>
          <w:b/>
        </w:rPr>
        <w:t>不在本期范围：</w:t>
      </w:r>
    </w:p>
    <w:p>
      <w:pPr>
        <w:pStyle w:val="ListBullet"/>
      </w:pPr>
      <w:r>
        <w:t>移动端 App（后续规划）</w:t>
      </w:r>
    </w:p>
    <w:p>
      <w:pPr>
        <w:pStyle w:val="ListBullet"/>
      </w:pPr>
      <w:r>
        <w:t>与外部 SCADA / IoT 系统的实时数据对接（本期使用 Mock 数据）</w:t>
      </w:r>
    </w:p>
    <w:p>
      <w:pPr>
        <w:pStyle w:val="ListBullet"/>
      </w:pPr>
      <w:r>
        <w:t>财务系统集成</w:t>
      </w:r>
    </w:p>
    <w:p>
      <w:r>
        <w:rPr>
          <w:b/>
        </w:rPr>
        <w:t>多租户支持：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租户</w:t>
            </w:r>
          </w:p>
        </w:tc>
        <w:tc>
          <w:tcPr>
            <w:tcW w:type="dxa" w:w="4323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集团总览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汇聚所有子公司数据，展示汇总指标和跨租户对比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广州水务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独立管理广州分公司运营数据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深圳水务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独立管理深圳分公司运营数据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东莞水务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独立管理东莞分公司运营数据</w:t>
            </w:r>
          </w:p>
        </w:tc>
      </w:tr>
    </w:tbl>
    <w:p/>
    <w:p>
      <w:pPr>
        <w:pStyle w:val="Heading3"/>
      </w:pPr>
      <w:r>
        <w:rPr>
          <w:rFonts w:ascii="黑体" w:hAnsi="黑体"/>
          <w:b/>
          <w:color w:val="1F3A6B"/>
          <w:sz w:val="26"/>
        </w:rPr>
        <w:t>2.4 业务流程概述</w:t>
      </w:r>
    </w:p>
    <w:p>
      <w:r>
        <w:rPr>
          <w:b/>
        </w:rPr>
        <w:t>多租户数据流向：</w:t>
      </w:r>
    </w:p>
    <w:p>
      <w:r>
        <w:t>各子公司租户独立维护各自的设备、监测、生产等业务数据。集团视角下，平台聚合所有子公司数据，提供汇总看板和跨公司对比分析。租户切换后，所有业务模块的数据自动联动刷新，展示对应租户的数据。</w:t>
      </w:r>
    </w:p>
    <w:p>
      <w:r>
        <w:rPr>
          <w:b/>
        </w:rPr>
        <w:t>核心业务流程：</w:t>
      </w:r>
    </w:p>
    <w:p>
      <w:pPr>
        <w:pStyle w:val="ListNumber"/>
      </w:pPr>
      <w:r>
        <w:t>用户登录后，顶部选择当前租户（集团总览或子公司）；</w:t>
      </w:r>
    </w:p>
    <w:p>
      <w:pPr>
        <w:pStyle w:val="ListNumber"/>
      </w:pPr>
      <w:r>
        <w:t>驾驶舱展示当前租户的核心 KPI 概览；</w:t>
      </w:r>
    </w:p>
    <w:p>
      <w:pPr>
        <w:pStyle w:val="ListNumber"/>
      </w:pPr>
      <w:r>
        <w:t>各业务模块按当前租户过滤数据，支持查询、维护操作；</w:t>
      </w:r>
    </w:p>
    <w:p>
      <w:pPr>
        <w:pStyle w:val="ListNumber"/>
      </w:pPr>
      <w:r>
        <w:t>集团视角下，数据分析类页面展示多公司对比维度；</w:t>
      </w:r>
    </w:p>
    <w:p>
      <w:pPr>
        <w:pStyle w:val="ListNumber"/>
      </w:pPr>
      <w:r>
        <w:t>AI 智能助手在任意租户下均可使用，提供智能问答和报告生成。</w:t>
      </w:r>
    </w:p>
    <w:p>
      <w:pPr>
        <w:pStyle w:val="Heading3"/>
      </w:pPr>
      <w:r>
        <w:rPr>
          <w:rFonts w:ascii="黑体" w:hAnsi="黑体"/>
          <w:b/>
          <w:color w:val="1F3A6B"/>
          <w:sz w:val="26"/>
        </w:rPr>
        <w:t>2.5 用户角色定义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type="dxa" w:w="2882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2882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主要权限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集团管理员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集团总部管理人员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查看所有租户数据，用户管理，系统配置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公司管理员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子公司管理人员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管理本公司所有业务模块，查看本公司所有数据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生产运营人员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一线运营人员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工单处理、值班记录、设备台账维护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设备维护人员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设备专岗人员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设备缺陷登记、维护保养执行、维护规程查阅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安全管理人员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安全专岗人员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隐患排查、安全巡检、应急预案管理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只读用户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报表查阅人员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查看各类报表和分析结果，无写操作权限</w:t>
            </w:r>
          </w:p>
        </w:tc>
      </w:tr>
    </w:tbl>
    <w:p/>
    <w:p>
      <w:pPr>
        <w:pStyle w:val="Heading3"/>
      </w:pPr>
      <w:r>
        <w:rPr>
          <w:rFonts w:ascii="黑体" w:hAnsi="黑体"/>
          <w:b/>
          <w:color w:val="1F3A6B"/>
          <w:sz w:val="26"/>
        </w:rPr>
        <w:t>2.6 需求分析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功能模块</w:t>
            </w:r>
          </w:p>
        </w:tc>
        <w:tc>
          <w:tcPr>
            <w:tcW w:type="dxa" w:w="2882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子功能</w:t>
            </w:r>
          </w:p>
        </w:tc>
        <w:tc>
          <w:tcPr>
            <w:tcW w:type="dxa" w:w="2882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需求描述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多租户管理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租户切换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顶部 Header 提供租户下拉选择器，切换后所有页面数据联动刷新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集团聚合视图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集团视角下汇聚所有子公司数据，展示汇总指标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租户状态管理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通过 Pinia store 维护当前租户上下文，持久化到 localStorage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驾驶舱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集团看板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ECharts 展示全集团供水量、设备总数、告警数、收入等 KPI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租户对比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多租户横向对比表格和雷达图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设备管理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设备台账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设备列表查询、新增、编辑、删除，支持设备编码、名称、类别、状态筛选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设备缺陷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缺陷记录列表，支持发现→处理→关闭状态流转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设备评估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评估任务管理，支持评估结果录入和报告查看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维护保养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保养计划列表和执行记录管理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年度中小修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年度检修计划管理和进度跟踪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大修技改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大修项目管理和技改申请审批流程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维护规程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规程文档列表和版本管理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展示分析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设备分布统计图表和运行状态分析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监测管理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监测配置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监测点位配置和监测参数设置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监测数据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历史数据查询、导出和趋势图展示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视频监控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视频列表和在线预览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报警管理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告警列表、告警确认和告警统计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数据分析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多维度分析和自定义报表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监测一张图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基于地图的监测点位可视化展示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生产管理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工单管理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运维工单的创建、派发、执行、验收全流程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两票管理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工作票和操作票的申请、审批、执行、归档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值班管理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值班计划排班、值班记录、值班统计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交接班管理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交接班记录填写、确认和历史查看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工艺可视化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水处理工艺流程动态展示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安全管理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隐患排查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安全隐患的发现、整改、复查闭环管理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安全巡检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巡检计划、执行记录和问题上报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应急预案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预案文档管理和演练记录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事故记录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事故登记、调查报告和处理结果跟踪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物资管理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仓库管理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仓库基础信息维护和库位管理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采购申请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物资采购申请的提交、审批和跟踪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库存台账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物资库存查询、盘点和库存预警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出入库记录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物资出入库操作记录和流水查询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经营管理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项目管理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经营项目的创建、跟踪和完成情况统计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生产日报/周报/月报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生产运行数据的日、周、月汇总填报和查看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费用管理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运营费用的登记、审批和统计分析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合同管理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合同台账和执行进度跟踪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管网管理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管网GIS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管网地图展示、设施查询和路径分析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管线台账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管线基础信息维护和属性管理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^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管网维修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管网维修工单管理和历史记录查询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AI助手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AI问答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基于平台数据的智能问答和辅助决策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黑体" w:hAnsi="黑体"/>
          <w:b/>
          <w:color w:val="1F3A6B"/>
          <w:sz w:val="30"/>
        </w:rPr>
        <w:t>五、通用 UI 规范</w:t>
      </w:r>
    </w:p>
    <w:p>
      <w:pPr>
        <w:pStyle w:val="ListBullet"/>
      </w:pPr>
      <w:r>
        <w:rPr>
          <w:b/>
        </w:rPr>
        <w:t>布局</w:t>
      </w:r>
      <w:r>
        <w:t>：左侧导航（240px）+ 顶部 Header（64px）+ 右侧内容区</w:t>
      </w:r>
    </w:p>
    <w:p>
      <w:pPr>
        <w:pStyle w:val="ListBullet"/>
      </w:pPr>
      <w:r>
        <w:rPr>
          <w:b/>
        </w:rPr>
        <w:t>颜色</w:t>
      </w:r>
      <w:r>
        <w:t xml:space="preserve">：主色 </w:t>
      </w:r>
      <w:r>
        <w:rPr>
          <w:rFonts w:ascii="Courier New" w:hAnsi="Courier New"/>
          <w:sz w:val="18"/>
        </w:rPr>
        <w:t>#409EFF</w:t>
      </w:r>
      <w:r>
        <w:t xml:space="preserve">，成功 </w:t>
      </w:r>
      <w:r>
        <w:rPr>
          <w:rFonts w:ascii="Courier New" w:hAnsi="Courier New"/>
          <w:sz w:val="18"/>
        </w:rPr>
        <w:t>#67C23A</w:t>
      </w:r>
      <w:r>
        <w:t xml:space="preserve">，警告 </w:t>
      </w:r>
      <w:r>
        <w:rPr>
          <w:rFonts w:ascii="Courier New" w:hAnsi="Courier New"/>
          <w:sz w:val="18"/>
        </w:rPr>
        <w:t>#E6A23C</w:t>
      </w:r>
      <w:r>
        <w:t xml:space="preserve">，危险 </w:t>
      </w:r>
      <w:r>
        <w:rPr>
          <w:rFonts w:ascii="Courier New" w:hAnsi="Courier New"/>
          <w:sz w:val="18"/>
        </w:rPr>
        <w:t>#F56C6C</w:t>
      </w:r>
    </w:p>
    <w:p>
      <w:pPr>
        <w:pStyle w:val="ListBullet"/>
      </w:pPr>
      <w:r>
        <w:rPr>
          <w:b/>
        </w:rPr>
        <w:t>卡片</w:t>
      </w:r>
      <w:r>
        <w:t>：</w:t>
      </w:r>
      <w:r>
        <w:rPr>
          <w:rFonts w:ascii="Courier New" w:hAnsi="Courier New"/>
          <w:sz w:val="18"/>
        </w:rPr>
        <w:t>ElCard shadow="never"</w:t>
      </w:r>
      <w:r>
        <w:t>，统一圆角和 padding</w:t>
      </w:r>
    </w:p>
    <w:p>
      <w:pPr>
        <w:pStyle w:val="ListBullet"/>
      </w:pPr>
      <w:r>
        <w:rPr>
          <w:b/>
        </w:rPr>
        <w:t>表格</w:t>
      </w:r>
      <w:r>
        <w:t>：</w:t>
      </w:r>
      <w:r>
        <w:rPr>
          <w:rFonts w:ascii="Courier New" w:hAnsi="Courier New"/>
          <w:sz w:val="18"/>
        </w:rPr>
        <w:t>stripe border size="small"</w:t>
      </w:r>
      <w:r>
        <w:t xml:space="preserve">，分页统一 </w:t>
      </w:r>
      <w:r>
        <w:rPr>
          <w:rFonts w:ascii="Courier New" w:hAnsi="Courier New"/>
          <w:sz w:val="18"/>
        </w:rPr>
        <w:t>[10, 20, 50]</w:t>
      </w:r>
    </w:p>
    <w:p>
      <w:pPr>
        <w:pStyle w:val="ListBullet"/>
      </w:pPr>
      <w:r>
        <w:rPr>
          <w:b/>
        </w:rPr>
        <w:t>表单</w:t>
      </w:r>
      <w:r>
        <w:t>：</w:t>
      </w:r>
      <w:r>
        <w:rPr>
          <w:rFonts w:ascii="Courier New" w:hAnsi="Courier New"/>
          <w:sz w:val="18"/>
        </w:rPr>
        <w:t>label-width="100px"</w:t>
      </w:r>
      <w:r>
        <w:t>，必填项红色星号，校验提示 inline</w:t>
      </w:r>
    </w:p>
    <w:p>
      <w:pPr>
        <w:pStyle w:val="ListBullet"/>
      </w:pPr>
      <w:r>
        <w:rPr>
          <w:b/>
        </w:rPr>
        <w:t>弹窗</w:t>
      </w:r>
      <w:r>
        <w:t xml:space="preserve">：操作类用 </w:t>
      </w:r>
      <w:r>
        <w:rPr>
          <w:rFonts w:ascii="Courier New" w:hAnsi="Courier New"/>
          <w:sz w:val="18"/>
        </w:rPr>
        <w:t>ElDialog width="600px"</w:t>
      </w:r>
      <w:r>
        <w:t xml:space="preserve">，详情类用 </w:t>
      </w:r>
      <w:r>
        <w:rPr>
          <w:rFonts w:ascii="Courier New" w:hAnsi="Courier New"/>
          <w:sz w:val="18"/>
        </w:rPr>
        <w:t>ElDrawer width="50%"</w:t>
      </w:r>
    </w:p>
    <w:p>
      <w:pPr>
        <w:pStyle w:val="ListBullet"/>
      </w:pPr>
      <w:r>
        <w:rPr>
          <w:b/>
        </w:rPr>
        <w:t>按钮</w:t>
      </w:r>
      <w:r>
        <w:t xml:space="preserve">：列表操作区 </w:t>
      </w:r>
      <w:r>
        <w:rPr>
          <w:rFonts w:ascii="Courier New" w:hAnsi="Courier New"/>
          <w:sz w:val="18"/>
        </w:rPr>
        <w:t>type="primary" size="small"</w:t>
      </w:r>
      <w:r>
        <w:t xml:space="preserve">，危险操作 </w:t>
      </w:r>
      <w:r>
        <w:rPr>
          <w:rFonts w:ascii="Courier New" w:hAnsi="Courier New"/>
          <w:sz w:val="18"/>
        </w:rPr>
        <w:t>type="danger"</w:t>
      </w:r>
    </w:p>
    <w:p>
      <w:pPr>
        <w:pStyle w:val="ListBullet"/>
      </w:pPr>
      <w:r>
        <w:rPr>
          <w:b/>
        </w:rPr>
        <w:t>标签</w:t>
      </w:r>
      <w:r>
        <w:t xml:space="preserve">：状态标签统一用 </w:t>
      </w:r>
      <w:r>
        <w:rPr>
          <w:rFonts w:ascii="Courier New" w:hAnsi="Courier New"/>
          <w:sz w:val="18"/>
        </w:rPr>
        <w:t>ElTag</w:t>
      </w:r>
      <w:r>
        <w:t>，颜色与状态语义对应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黑体" w:hAnsi="黑体"/>
          <w:b/>
          <w:color w:val="1F3A6B"/>
          <w:sz w:val="30"/>
        </w:rPr>
        <w:t>六、Mock 数据规范</w:t>
      </w:r>
    </w:p>
    <w:p>
      <w:pPr>
        <w:pStyle w:val="ListBullet"/>
      </w:pPr>
      <w:r>
        <w:t xml:space="preserve">Mock 数据放置于 </w:t>
      </w:r>
      <w:r>
        <w:rPr>
          <w:rFonts w:ascii="Courier New" w:hAnsi="Courier New"/>
          <w:sz w:val="18"/>
        </w:rPr>
        <w:t>src/mock/modules/</w:t>
      </w:r>
      <w:r>
        <w:t xml:space="preserve"> 目录下，按模块分文件</w:t>
      </w:r>
    </w:p>
    <w:p>
      <w:pPr>
        <w:pStyle w:val="ListBullet"/>
      </w:pPr>
      <w:r>
        <w:t xml:space="preserve">所有接口支持 </w:t>
      </w:r>
      <w:r>
        <w:rPr>
          <w:rFonts w:ascii="Courier New" w:hAnsi="Courier New"/>
          <w:sz w:val="18"/>
        </w:rPr>
        <w:t>tenantId</w:t>
      </w:r>
      <w:r>
        <w:t xml:space="preserve"> 参数过滤，集团视角返回聚合数据</w:t>
      </w:r>
    </w:p>
    <w:p>
      <w:pPr>
        <w:pStyle w:val="ListBullet"/>
      </w:pPr>
      <w:r>
        <w:t xml:space="preserve">分页接口统一返回 </w:t>
      </w:r>
      <w:r>
        <w:rPr>
          <w:rFonts w:ascii="Courier New" w:hAnsi="Courier New"/>
          <w:sz w:val="18"/>
        </w:rPr>
        <w:t>{ list, total, page, pageSize }</w:t>
      </w:r>
      <w:r>
        <w:t xml:space="preserve"> 结构</w:t>
      </w:r>
    </w:p>
    <w:p>
      <w:pPr>
        <w:pStyle w:val="ListBullet"/>
      </w:pPr>
      <w:r>
        <w:t xml:space="preserve">状态枚举、人员列表等基础数据在 </w:t>
      </w:r>
      <w:r>
        <w:rPr>
          <w:rFonts w:ascii="Courier New" w:hAnsi="Courier New"/>
          <w:sz w:val="18"/>
        </w:rPr>
        <w:t>src/mock/base.ts</w:t>
      </w:r>
      <w:r>
        <w:t xml:space="preserve"> 统一维护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黑体" w:hAnsi="黑体"/>
          <w:b/>
          <w:color w:val="1F3A6B"/>
          <w:sz w:val="30"/>
        </w:rPr>
        <w:t>七、已完成页面清单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2882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页面</w:t>
            </w:r>
          </w:p>
        </w:tc>
        <w:tc>
          <w:tcPr>
            <w:tcW w:type="dxa" w:w="2882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状态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驾驶舱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集团看板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驾驶舱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租户对比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设备管理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设备台账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设备管理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设备缺陷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设备管理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设备评估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设备管理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维护保养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设备管理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年度中小修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设备管理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大修技改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设备管理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维护规程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设备管理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展示分析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监测管理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监测配置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监测管理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监测数据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监测管理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视频监控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监测管理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报警管理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监测管理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数据分析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监测管理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监测一张图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生产管理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工单管理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生产管理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两票管理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生产管理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值班管理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生产管理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交接班管理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生产管理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工艺可视化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安全管理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隐患排查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安全管理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安全巡检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安全管理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应急预案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安全管理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事故记录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物资管理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仓库管理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物资管理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采购申请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物资管理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库存台账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物资管理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出入库记录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经营管理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项目管理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经营管理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日报/周报/月报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经营管理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费用管理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经营管理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合同管理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管网管理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管网GIS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管网管理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管线台账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管网管理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管网维修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AI助手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AI问答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✅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