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14A" w:rsidRPr="0013414A" w:rsidRDefault="0013414A" w:rsidP="0013414A">
      <w:pPr>
        <w:pStyle w:val="3"/>
        <w:rPr>
          <w:rFonts w:cs="宋体" w:hint="eastAsia"/>
        </w:rPr>
      </w:pPr>
      <w:r w:rsidRPr="00EE3713">
        <w:rPr>
          <w:rStyle w:val="s2"/>
          <w:rFonts w:ascii="宋体" w:hAnsi="宋体" w:cs="宋体" w:hint="eastAsia"/>
        </w:rPr>
        <w:t>附录</w:t>
      </w:r>
      <w:r w:rsidRPr="00EE3713">
        <w:rPr>
          <w:rStyle w:val="s2"/>
          <w:rFonts w:cs="宋体"/>
        </w:rPr>
        <w:t>B</w:t>
      </w:r>
      <w:bookmarkStart w:id="0" w:name="_GoBack"/>
      <w:bookmarkEnd w:id="0"/>
    </w:p>
    <w:p w:rsidR="0013414A" w:rsidRPr="00EE3713" w:rsidRDefault="0013414A" w:rsidP="0013414A">
      <w:pPr>
        <w:topLinePunct/>
        <w:ind w:firstLineChars="250" w:firstLine="450"/>
        <w:jc w:val="center"/>
        <w:rPr>
          <w:rFonts w:ascii="黑体" w:eastAsia="黑体" w:hAnsi="黑体"/>
          <w:sz w:val="18"/>
          <w:szCs w:val="18"/>
        </w:rPr>
      </w:pPr>
      <w:r w:rsidRPr="00EE3713">
        <w:rPr>
          <w:rFonts w:ascii="黑体" w:eastAsia="黑体" w:hAnsi="黑体" w:hint="eastAsia"/>
          <w:sz w:val="18"/>
          <w:szCs w:val="18"/>
        </w:rPr>
        <w:t>表</w:t>
      </w:r>
      <w:r w:rsidRPr="00EE3713">
        <w:rPr>
          <w:rFonts w:ascii="黑体" w:eastAsia="黑体" w:hAnsi="黑体"/>
          <w:sz w:val="18"/>
          <w:szCs w:val="18"/>
        </w:rPr>
        <w:t>B1</w:t>
      </w:r>
      <w:r w:rsidRPr="00EE3713">
        <w:rPr>
          <w:rFonts w:ascii="黑体" w:eastAsia="黑体" w:hAnsi="黑体" w:hint="eastAsia"/>
          <w:sz w:val="18"/>
          <w:szCs w:val="18"/>
        </w:rPr>
        <w:t>贷款数量的回归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310"/>
        <w:gridCol w:w="1288"/>
        <w:gridCol w:w="1426"/>
        <w:gridCol w:w="1426"/>
        <w:gridCol w:w="1107"/>
        <w:gridCol w:w="1743"/>
      </w:tblGrid>
      <w:tr w:rsidR="0013414A" w:rsidRPr="00D21717" w:rsidTr="002A771E">
        <w:tc>
          <w:tcPr>
            <w:tcW w:w="78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(1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(2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(3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(4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(5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</w:tr>
      <w:tr w:rsidR="0013414A" w:rsidRPr="00D21717" w:rsidTr="002A771E"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2001 - </w:t>
            </w:r>
            <w:r w:rsidRPr="00D21717">
              <w:rPr>
                <w:rFonts w:eastAsia="宋体"/>
                <w:sz w:val="18"/>
                <w:szCs w:val="18"/>
              </w:rPr>
              <w:t>2008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2002 - </w:t>
            </w:r>
            <w:r w:rsidRPr="00D21717">
              <w:rPr>
                <w:rFonts w:eastAsia="宋体"/>
                <w:sz w:val="18"/>
                <w:szCs w:val="18"/>
              </w:rPr>
              <w:t>2009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2003 - </w:t>
            </w:r>
            <w:r w:rsidRPr="00D21717">
              <w:rPr>
                <w:rFonts w:eastAsia="宋体"/>
                <w:sz w:val="18"/>
                <w:szCs w:val="18"/>
              </w:rPr>
              <w:t>2010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2004 - </w:t>
            </w:r>
            <w:r w:rsidRPr="00D21717">
              <w:rPr>
                <w:rFonts w:eastAsia="宋体"/>
                <w:sz w:val="18"/>
                <w:szCs w:val="18"/>
              </w:rPr>
              <w:t>2011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2005 - </w:t>
            </w:r>
            <w:r w:rsidRPr="00D21717">
              <w:rPr>
                <w:rFonts w:eastAsia="宋体"/>
                <w:sz w:val="18"/>
                <w:szCs w:val="18"/>
              </w:rPr>
              <w:t>2012</w:t>
            </w:r>
          </w:p>
        </w:tc>
      </w:tr>
      <w:tr w:rsidR="0013414A" w:rsidRPr="00D21717" w:rsidTr="002A771E">
        <w:tc>
          <w:tcPr>
            <w:tcW w:w="78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净资产收益率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-0.00175***</w:t>
            </w: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-0.00149***</w:t>
            </w: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-0.00136***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-0.0012</w:t>
            </w:r>
            <w:r w:rsidRPr="00D21717">
              <w:rPr>
                <w:rFonts w:eastAsia="宋体"/>
                <w:sz w:val="18"/>
                <w:szCs w:val="18"/>
              </w:rPr>
              <w:t>***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-0.00110***</w:t>
            </w:r>
          </w:p>
        </w:tc>
      </w:tr>
      <w:tr w:rsidR="0013414A" w:rsidRPr="00D21717" w:rsidTr="002A771E"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公司规模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0.00455**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0.00606***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0.00577***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0.00579***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0.00363**</w:t>
            </w:r>
          </w:p>
        </w:tc>
      </w:tr>
      <w:tr w:rsidR="0013414A" w:rsidRPr="00D21717" w:rsidTr="002A771E"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(0.024)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(0.002)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(0.002)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(0.001)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(0.019)</w:t>
            </w:r>
          </w:p>
        </w:tc>
      </w:tr>
      <w:tr w:rsidR="0013414A" w:rsidRPr="00D21717" w:rsidTr="002A771E"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成长率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-0.0123***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-0.0122***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-0.00737***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-0.0087</w:t>
            </w:r>
            <w:r w:rsidRPr="00D21717">
              <w:rPr>
                <w:rFonts w:eastAsia="宋体"/>
                <w:sz w:val="18"/>
                <w:szCs w:val="18"/>
              </w:rPr>
              <w:t>***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-0.00778***</w:t>
            </w:r>
          </w:p>
        </w:tc>
      </w:tr>
      <w:tr w:rsidR="0013414A" w:rsidRPr="00D21717" w:rsidTr="002A771E"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(0.004)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(0.001)</w:t>
            </w:r>
          </w:p>
        </w:tc>
      </w:tr>
      <w:tr w:rsidR="0013414A" w:rsidRPr="00D21717" w:rsidTr="002A771E"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资本结构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-0.00485***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-0.00467***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-0.00461***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-0.0046</w:t>
            </w:r>
            <w:r w:rsidRPr="00D21717">
              <w:rPr>
                <w:rFonts w:eastAsia="宋体"/>
                <w:sz w:val="18"/>
                <w:szCs w:val="18"/>
              </w:rPr>
              <w:t>***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-0.00440***</w:t>
            </w:r>
          </w:p>
        </w:tc>
      </w:tr>
      <w:tr w:rsidR="0013414A" w:rsidRPr="00D21717" w:rsidTr="002A771E"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周转率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0.000603***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0.000586**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0.000435*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0.000541**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0.00102***</w:t>
            </w:r>
          </w:p>
        </w:tc>
      </w:tr>
      <w:tr w:rsidR="0013414A" w:rsidRPr="00D21717" w:rsidTr="002A771E"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(0.010)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(0.012)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(0.055)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(0.013)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政府支持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1.226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3.602***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3.154***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2.212**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1.401*</w:t>
            </w:r>
          </w:p>
        </w:tc>
      </w:tr>
      <w:tr w:rsidR="0013414A" w:rsidRPr="00D21717" w:rsidTr="002A771E"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(0.420)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(0.007)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(0.004)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(0.018)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(0.087)</w:t>
            </w:r>
          </w:p>
        </w:tc>
      </w:tr>
      <w:tr w:rsidR="0013414A" w:rsidRPr="00D21717" w:rsidTr="002A771E"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行业货币需求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0.00596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-0.00640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-0.00119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-0.00365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-0.0261</w:t>
            </w:r>
          </w:p>
        </w:tc>
      </w:tr>
      <w:tr w:rsidR="0013414A" w:rsidRPr="00D21717" w:rsidTr="002A771E"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(0.621)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(0.661)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(0.936)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(0.833)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(0.109)</w:t>
            </w:r>
          </w:p>
        </w:tc>
      </w:tr>
      <w:tr w:rsidR="0013414A" w:rsidRPr="00D21717" w:rsidTr="002A771E"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EFN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0.0000480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0.0000588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0.0000906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0.000109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-0.0000520</w:t>
            </w:r>
          </w:p>
        </w:tc>
      </w:tr>
      <w:tr w:rsidR="0013414A" w:rsidRPr="00D21717" w:rsidTr="002A771E"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(0.464)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(0.388)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(0.179)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(0.494)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(0.742)</w:t>
            </w:r>
          </w:p>
        </w:tc>
      </w:tr>
      <w:tr w:rsidR="0013414A" w:rsidRPr="00D21717" w:rsidTr="002A771E"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Constant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0.288***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0.237***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0.252***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0.265***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0.309***</w:t>
            </w:r>
          </w:p>
        </w:tc>
      </w:tr>
      <w:tr w:rsidR="0013414A" w:rsidRPr="00D21717" w:rsidTr="002A771E"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687175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687175">
              <w:rPr>
                <w:rFonts w:eastAsia="宋体"/>
                <w:iCs/>
                <w:sz w:val="18"/>
                <w:szCs w:val="18"/>
              </w:rPr>
              <w:t>Observations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5992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6335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6772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7306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8181</w:t>
            </w:r>
          </w:p>
        </w:tc>
      </w:tr>
    </w:tbl>
    <w:p w:rsidR="0013414A" w:rsidRPr="000B355B" w:rsidRDefault="0013414A" w:rsidP="0013414A">
      <w:pPr>
        <w:topLinePunct/>
        <w:ind w:firstLineChars="250" w:firstLine="450"/>
        <w:rPr>
          <w:rFonts w:ascii="黑体" w:eastAsia="黑体" w:hAnsi="黑体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556"/>
        <w:gridCol w:w="1348"/>
        <w:gridCol w:w="1350"/>
        <w:gridCol w:w="1350"/>
        <w:gridCol w:w="1350"/>
        <w:gridCol w:w="1346"/>
      </w:tblGrid>
      <w:tr w:rsidR="0013414A" w:rsidRPr="00D21717" w:rsidTr="002A771E">
        <w:tc>
          <w:tcPr>
            <w:tcW w:w="9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(6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(7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(8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(9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(10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2006 - </w:t>
            </w:r>
            <w:r w:rsidRPr="00D21717">
              <w:rPr>
                <w:rFonts w:eastAsia="宋体"/>
                <w:sz w:val="18"/>
                <w:szCs w:val="18"/>
              </w:rPr>
              <w:t>2013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2007 - </w:t>
            </w:r>
            <w:r w:rsidRPr="00D21717">
              <w:rPr>
                <w:rFonts w:eastAsia="宋体"/>
                <w:sz w:val="18"/>
                <w:szCs w:val="18"/>
              </w:rPr>
              <w:t>2014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2008 - </w:t>
            </w:r>
            <w:r w:rsidRPr="00D21717">
              <w:rPr>
                <w:rFonts w:eastAsia="宋体"/>
                <w:sz w:val="18"/>
                <w:szCs w:val="18"/>
              </w:rPr>
              <w:t>2015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2009 - </w:t>
            </w:r>
            <w:r w:rsidRPr="00D21717">
              <w:rPr>
                <w:rFonts w:eastAsia="宋体"/>
                <w:sz w:val="18"/>
                <w:szCs w:val="18"/>
              </w:rPr>
              <w:t>2016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2010 - </w:t>
            </w:r>
            <w:r w:rsidRPr="00D21717">
              <w:rPr>
                <w:rFonts w:eastAsia="宋体"/>
                <w:sz w:val="18"/>
                <w:szCs w:val="18"/>
              </w:rPr>
              <w:t>2017</w:t>
            </w:r>
          </w:p>
        </w:tc>
      </w:tr>
      <w:tr w:rsidR="0013414A" w:rsidRPr="00D21717" w:rsidTr="002A771E">
        <w:tc>
          <w:tcPr>
            <w:tcW w:w="9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净资产收益率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-0.00104***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-0.000911***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-0.000955***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-0.000795***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-0.000889***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公司规模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0.00155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0.000602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-0.000894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-0.00132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-0.000780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(0.287)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(0.674)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(0.511)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(0.309)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(0.551)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成长率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-0.00851***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-0.00701***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-0.00782***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-0.00914***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-0.00934***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(0.005)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(0.001)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资本结构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-0.00437***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-0.00413***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-0.00387***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-0.00367***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-0.00364***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周转率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0.00122***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0.00176***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0.00225***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0.00252***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0.00281***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政府支持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0.373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1.248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1.622**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1.818***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1.868***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(0.680)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(0.183)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(0.020)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(0.003)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(0.002)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行业货币需求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0.000824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-0.00476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-0.0241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-0.00286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-0.0403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(0.961)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(0.831)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(0.329)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(0.935)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(0.291)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EFN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-0.0000396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-0.0000557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-0.000123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-0.0000278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0.00000821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(0.762)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(0.615)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(0.238)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(0.763)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(0.928)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lastRenderedPageBreak/>
              <w:t>Constant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0.333***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0.337***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0.369***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0.347***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0.371***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687175">
              <w:rPr>
                <w:rFonts w:eastAsia="宋体"/>
                <w:iCs/>
                <w:sz w:val="18"/>
                <w:szCs w:val="18"/>
              </w:rPr>
              <w:t>Observations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9276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10440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11551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12611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12214</w:t>
            </w:r>
          </w:p>
        </w:tc>
      </w:tr>
    </w:tbl>
    <w:p w:rsidR="0013414A" w:rsidRPr="00257088" w:rsidRDefault="0013414A" w:rsidP="0013414A">
      <w:pPr>
        <w:rPr>
          <w:rFonts w:eastAsiaTheme="minorEastAsia"/>
        </w:rPr>
      </w:pPr>
    </w:p>
    <w:p w:rsidR="0013414A" w:rsidRPr="00257088" w:rsidRDefault="0013414A" w:rsidP="0013414A">
      <w:pPr>
        <w:topLinePunct/>
        <w:ind w:firstLineChars="250" w:firstLine="450"/>
        <w:jc w:val="center"/>
        <w:rPr>
          <w:rFonts w:ascii="黑体" w:eastAsia="黑体" w:hAnsi="黑体"/>
          <w:sz w:val="18"/>
          <w:szCs w:val="18"/>
        </w:rPr>
      </w:pPr>
      <w:r w:rsidRPr="00257088">
        <w:rPr>
          <w:rFonts w:ascii="黑体" w:eastAsia="黑体" w:hAnsi="黑体" w:hint="eastAsia"/>
          <w:sz w:val="18"/>
          <w:szCs w:val="18"/>
        </w:rPr>
        <w:t>表</w:t>
      </w:r>
      <w:r w:rsidRPr="00257088">
        <w:rPr>
          <w:rFonts w:ascii="黑体" w:eastAsia="黑体" w:hAnsi="黑体"/>
          <w:sz w:val="18"/>
          <w:szCs w:val="18"/>
        </w:rPr>
        <w:t>B2</w:t>
      </w:r>
      <w:r w:rsidRPr="00257088">
        <w:rPr>
          <w:rFonts w:ascii="黑体" w:eastAsia="黑体" w:hAnsi="黑体" w:hint="eastAsia"/>
          <w:sz w:val="18"/>
          <w:szCs w:val="18"/>
        </w:rPr>
        <w:t xml:space="preserve">   贷款增速的回归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556"/>
        <w:gridCol w:w="1348"/>
        <w:gridCol w:w="1350"/>
        <w:gridCol w:w="1350"/>
        <w:gridCol w:w="1350"/>
        <w:gridCol w:w="1346"/>
      </w:tblGrid>
      <w:tr w:rsidR="0013414A" w:rsidRPr="00D21717" w:rsidTr="002A771E">
        <w:tc>
          <w:tcPr>
            <w:tcW w:w="9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(1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(2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(3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(4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(5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2001 - </w:t>
            </w:r>
            <w:r w:rsidRPr="00D21717">
              <w:rPr>
                <w:rFonts w:eastAsia="宋体"/>
                <w:sz w:val="18"/>
                <w:szCs w:val="18"/>
              </w:rPr>
              <w:t>2008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2002 - </w:t>
            </w:r>
            <w:r w:rsidRPr="00D21717">
              <w:rPr>
                <w:rFonts w:eastAsia="宋体"/>
                <w:sz w:val="18"/>
                <w:szCs w:val="18"/>
              </w:rPr>
              <w:t>2009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2003 - </w:t>
            </w:r>
            <w:r w:rsidRPr="00D21717">
              <w:rPr>
                <w:rFonts w:eastAsia="宋体"/>
                <w:sz w:val="18"/>
                <w:szCs w:val="18"/>
              </w:rPr>
              <w:t>2010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2004 - </w:t>
            </w:r>
            <w:r w:rsidRPr="00D21717">
              <w:rPr>
                <w:rFonts w:eastAsia="宋体"/>
                <w:sz w:val="18"/>
                <w:szCs w:val="18"/>
              </w:rPr>
              <w:t>2011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2005 - </w:t>
            </w:r>
            <w:r w:rsidRPr="00D21717">
              <w:rPr>
                <w:rFonts w:eastAsia="宋体"/>
                <w:sz w:val="18"/>
                <w:szCs w:val="18"/>
              </w:rPr>
              <w:t>2012</w:t>
            </w:r>
          </w:p>
        </w:tc>
      </w:tr>
      <w:tr w:rsidR="0013414A" w:rsidRPr="00D21717" w:rsidTr="002A771E">
        <w:tc>
          <w:tcPr>
            <w:tcW w:w="9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净资产收益率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-0.000538***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-0.000526***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-0.000414***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-0.000507***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-0.000410***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公司规模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0.00223*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0.00143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-0.0000168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-0.00282*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-0.00210*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(0.065)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(0.208)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(0.988)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(0.056)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(0.054)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成长率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0.00489*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0.00116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0.00322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-0.0147***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-0.0131***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(0.092)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(0.690)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(0.257)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资本结构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-0.00115***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-0.00112***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-0.00128***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-0.00182***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-0.00123***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周转率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-0.00112***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-0.00105***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-0.000979***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-0.000957***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-0.000791***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政府支持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-0.0437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1.150*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0.199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0.740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0.605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(0.965)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(0.093)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(0.724)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(0.288)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(0.153)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行业货币需求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0.00490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0.00911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0.0144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0.0119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-0.00178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(0.735)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(0.573)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(0.395)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(0.587)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(0.932)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EFN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0.0000298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0.0000437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0.0000571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0.000464***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0.000469***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(0.712)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(0.593)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(0.486)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(0.007)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(0.005)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Constant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0.0212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0.0226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0.0553**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0.164***</w:t>
            </w: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0.104***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(0.469)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(0.420)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(0.047)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CD224C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D224C">
              <w:rPr>
                <w:rFonts w:eastAsia="宋体" w:hint="eastAsia"/>
                <w:iCs/>
                <w:sz w:val="18"/>
                <w:szCs w:val="18"/>
              </w:rPr>
              <w:t>Ob</w:t>
            </w:r>
            <w:r w:rsidRPr="00CD224C">
              <w:rPr>
                <w:rFonts w:eastAsia="宋体"/>
                <w:iCs/>
                <w:sz w:val="18"/>
                <w:szCs w:val="18"/>
              </w:rPr>
              <w:t>servations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5992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6335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6772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7306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8181</w:t>
            </w:r>
          </w:p>
        </w:tc>
      </w:tr>
    </w:tbl>
    <w:p w:rsidR="0013414A" w:rsidRDefault="0013414A" w:rsidP="0013414A">
      <w:pPr>
        <w:topLinePunct/>
        <w:ind w:firstLineChars="250" w:firstLine="450"/>
        <w:rPr>
          <w:rFonts w:eastAsia="黑体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558"/>
        <w:gridCol w:w="1346"/>
        <w:gridCol w:w="1350"/>
        <w:gridCol w:w="1350"/>
        <w:gridCol w:w="1350"/>
        <w:gridCol w:w="1346"/>
      </w:tblGrid>
      <w:tr w:rsidR="0013414A" w:rsidRPr="00D21717" w:rsidTr="002A771E">
        <w:tc>
          <w:tcPr>
            <w:tcW w:w="9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(6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(7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(8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(9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(10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2006 - </w:t>
            </w:r>
            <w:r w:rsidRPr="00D21717">
              <w:rPr>
                <w:rFonts w:eastAsia="宋体"/>
                <w:sz w:val="18"/>
                <w:szCs w:val="18"/>
              </w:rPr>
              <w:t>2013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2007 - </w:t>
            </w:r>
            <w:r w:rsidRPr="00D21717">
              <w:rPr>
                <w:rFonts w:eastAsia="宋体"/>
                <w:sz w:val="18"/>
                <w:szCs w:val="18"/>
              </w:rPr>
              <w:t>2014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2008 - </w:t>
            </w:r>
            <w:r w:rsidRPr="00D21717">
              <w:rPr>
                <w:rFonts w:eastAsia="宋体"/>
                <w:sz w:val="18"/>
                <w:szCs w:val="18"/>
              </w:rPr>
              <w:t>2015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2009 - </w:t>
            </w:r>
            <w:r w:rsidRPr="00D21717">
              <w:rPr>
                <w:rFonts w:eastAsia="宋体"/>
                <w:sz w:val="18"/>
                <w:szCs w:val="18"/>
              </w:rPr>
              <w:t>2016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2010 - </w:t>
            </w:r>
            <w:r w:rsidRPr="00D21717">
              <w:rPr>
                <w:rFonts w:eastAsia="宋体"/>
                <w:sz w:val="18"/>
                <w:szCs w:val="18"/>
              </w:rPr>
              <w:t>2017</w:t>
            </w:r>
          </w:p>
        </w:tc>
      </w:tr>
      <w:tr w:rsidR="0013414A" w:rsidRPr="00D21717" w:rsidTr="002A771E">
        <w:tc>
          <w:tcPr>
            <w:tcW w:w="9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净资产收益率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-0.000382***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-0.000372***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-0.000372***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-0.000399***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-0.000363***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公司规模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-0.00157*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-0.00215**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-0.00155*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-0.00217***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-0.00171**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(0.097)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(0.013)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(0.055)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(0.005)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(0.027)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成长率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-0.00997***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-0.00955***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-0.00589**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-0.00154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-0.00231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(0.001)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(0.001)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(0.023)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(0.514)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(0.333)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资本结构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-0.00104***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-0.000987***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-0.000954***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-0.000929***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-0.000908***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周转率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-0.000804***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-0.000996***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-0.00127***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-0.00134***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-0.00131***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政府支持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0.206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0.390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0.267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0.254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0.235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(0.551)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(0.194)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(0.306)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(0.284)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(0.313)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行业货币需求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0.0182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0.0159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-0.00174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0.0385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-0.0393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(0.415)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(0.582)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(0.957)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(0.390)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(0.434)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EFN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0.000507***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0.000515***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0.000442***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0.000377***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0.000359***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(0.001)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(0.001)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Constant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0.0859***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0.0938***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0.0879***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0.0789**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0.127***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(0.001)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(0.001)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(0.003)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(0.030)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(0.002)</w:t>
            </w:r>
          </w:p>
        </w:tc>
      </w:tr>
      <w:tr w:rsidR="0013414A" w:rsidRPr="00D21717" w:rsidTr="002A771E"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D224C">
              <w:rPr>
                <w:rFonts w:eastAsia="宋体" w:hint="eastAsia"/>
                <w:iCs/>
                <w:sz w:val="18"/>
                <w:szCs w:val="18"/>
              </w:rPr>
              <w:t>Ob</w:t>
            </w:r>
            <w:r w:rsidRPr="00CD224C">
              <w:rPr>
                <w:rFonts w:eastAsia="宋体"/>
                <w:iCs/>
                <w:sz w:val="18"/>
                <w:szCs w:val="18"/>
              </w:rPr>
              <w:t>servations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9276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10440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11551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12611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12214</w:t>
            </w:r>
          </w:p>
        </w:tc>
      </w:tr>
    </w:tbl>
    <w:p w:rsidR="0013414A" w:rsidRDefault="0013414A" w:rsidP="0013414A">
      <w:pPr>
        <w:topLinePunct/>
        <w:spacing w:line="360" w:lineRule="auto"/>
        <w:rPr>
          <w:rStyle w:val="s2"/>
          <w:rFonts w:ascii="宋体" w:eastAsia="宋体" w:hAnsi="宋体" w:cs="宋体"/>
          <w:b/>
        </w:rPr>
      </w:pPr>
    </w:p>
    <w:p w:rsidR="0013414A" w:rsidRPr="00257088" w:rsidRDefault="0013414A" w:rsidP="0013414A">
      <w:pPr>
        <w:topLinePunct/>
        <w:spacing w:line="360" w:lineRule="auto"/>
        <w:ind w:firstLineChars="200" w:firstLine="360"/>
        <w:jc w:val="center"/>
        <w:rPr>
          <w:rFonts w:ascii="黑体" w:eastAsia="黑体" w:hAnsi="黑体"/>
          <w:sz w:val="18"/>
          <w:szCs w:val="18"/>
        </w:rPr>
      </w:pPr>
      <w:r w:rsidRPr="00257088">
        <w:rPr>
          <w:rFonts w:ascii="黑体" w:eastAsia="黑体" w:hAnsi="黑体" w:hint="eastAsia"/>
          <w:sz w:val="18"/>
          <w:szCs w:val="18"/>
        </w:rPr>
        <w:t>表</w:t>
      </w:r>
      <w:r w:rsidRPr="00257088">
        <w:rPr>
          <w:rFonts w:ascii="黑体" w:eastAsia="黑体" w:hAnsi="黑体"/>
          <w:sz w:val="18"/>
          <w:szCs w:val="18"/>
        </w:rPr>
        <w:t>B3</w:t>
      </w:r>
      <w:r w:rsidRPr="00257088">
        <w:rPr>
          <w:rFonts w:ascii="黑体" w:eastAsia="黑体" w:hAnsi="黑体" w:hint="eastAsia"/>
          <w:sz w:val="18"/>
          <w:szCs w:val="18"/>
        </w:rPr>
        <w:t>贷款价格回归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58"/>
        <w:gridCol w:w="1328"/>
        <w:gridCol w:w="1328"/>
        <w:gridCol w:w="1328"/>
        <w:gridCol w:w="1328"/>
        <w:gridCol w:w="1330"/>
      </w:tblGrid>
      <w:tr w:rsidR="0013414A" w:rsidRPr="00D21717" w:rsidTr="002A771E">
        <w:tc>
          <w:tcPr>
            <w:tcW w:w="99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(1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(2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(3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(4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(5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2001 - </w:t>
            </w:r>
            <w:r w:rsidRPr="00D21717">
              <w:rPr>
                <w:rFonts w:eastAsia="宋体"/>
                <w:sz w:val="18"/>
                <w:szCs w:val="18"/>
              </w:rPr>
              <w:t>2008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2002 - </w:t>
            </w:r>
            <w:r w:rsidRPr="00D21717">
              <w:rPr>
                <w:rFonts w:eastAsia="宋体"/>
                <w:sz w:val="18"/>
                <w:szCs w:val="18"/>
              </w:rPr>
              <w:t>2009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2003 - </w:t>
            </w:r>
            <w:r w:rsidRPr="00D21717">
              <w:rPr>
                <w:rFonts w:eastAsia="宋体"/>
                <w:sz w:val="18"/>
                <w:szCs w:val="18"/>
              </w:rPr>
              <w:t>2010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2004 - </w:t>
            </w:r>
            <w:r w:rsidRPr="00D21717">
              <w:rPr>
                <w:rFonts w:eastAsia="宋体"/>
                <w:sz w:val="18"/>
                <w:szCs w:val="18"/>
              </w:rPr>
              <w:t>2011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2005 - </w:t>
            </w:r>
            <w:r w:rsidRPr="00D21717">
              <w:rPr>
                <w:rFonts w:eastAsia="宋体"/>
                <w:sz w:val="18"/>
                <w:szCs w:val="18"/>
              </w:rPr>
              <w:t>2012</w:t>
            </w:r>
          </w:p>
        </w:tc>
      </w:tr>
      <w:tr w:rsidR="0013414A" w:rsidRPr="00D21717" w:rsidTr="002A771E">
        <w:tc>
          <w:tcPr>
            <w:tcW w:w="99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eastAsia="宋体" w:hint="eastAsia"/>
                <w:sz w:val="18"/>
                <w:szCs w:val="18"/>
              </w:rPr>
              <w:t>净资产收益率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-0.0561***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-0.0544***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-0.0566***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-0.0559***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-0.0494***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eastAsia="宋体" w:hint="eastAsia"/>
                <w:sz w:val="18"/>
                <w:szCs w:val="18"/>
              </w:rPr>
              <w:t>资产负债率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0.0185***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0.0193***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0.0247***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0.0250***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0.0291***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eastAsia="宋体" w:hint="eastAsia"/>
                <w:sz w:val="18"/>
                <w:szCs w:val="18"/>
              </w:rPr>
              <w:t>现金比率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-1.098***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-1.000***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-0.878***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-0.899***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-0.929***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eastAsia="宋体" w:hint="eastAsia"/>
                <w:sz w:val="18"/>
                <w:szCs w:val="18"/>
              </w:rPr>
              <w:t>成长率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-0.144*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-0.0235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0.0145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-0.0344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-0.0952**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(0.088)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(0.722)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(0.798)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(0.479)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(0.032)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eastAsia="宋体" w:hint="eastAsia"/>
                <w:sz w:val="18"/>
                <w:szCs w:val="18"/>
              </w:rPr>
              <w:t>是否国企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0.0229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-0.00294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-0.0118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-0.0751*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-0.0760*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(0.669)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(0.947)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(0.816)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(0.085)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(0.092)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eastAsia="宋体" w:hint="eastAsia"/>
                <w:sz w:val="18"/>
                <w:szCs w:val="18"/>
              </w:rPr>
              <w:t>政府支持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59.57***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66.57***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105.8***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80.33***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79.43***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eastAsia="宋体" w:hint="eastAsia"/>
                <w:sz w:val="18"/>
                <w:szCs w:val="18"/>
              </w:rPr>
              <w:t>行业货币需求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-3.937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-0.942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-0.486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-0.402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-0.391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(0.193)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(0.159)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(0.381)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(0.425)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(0.312)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eastAsia="宋体" w:hint="eastAsia"/>
                <w:sz w:val="18"/>
                <w:szCs w:val="18"/>
              </w:rPr>
              <w:t>roe</w:t>
            </w:r>
            <w:r w:rsidRPr="00C12BE7">
              <w:rPr>
                <w:rFonts w:eastAsia="宋体"/>
                <w:sz w:val="18"/>
                <w:szCs w:val="18"/>
              </w:rPr>
              <w:t>*</w:t>
            </w:r>
            <w:r w:rsidRPr="00C12BE7">
              <w:rPr>
                <w:rFonts w:eastAsia="宋体" w:hint="eastAsia"/>
                <w:sz w:val="18"/>
                <w:szCs w:val="18"/>
              </w:rPr>
              <w:t>行业货币需求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0.0237***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0.0214***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0.0250***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0.0253***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0.0221***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(0.001)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ascii="宋体" w:eastAsia="宋体" w:hAnsi="宋体" w:hint="eastAsia"/>
                <w:sz w:val="18"/>
                <w:szCs w:val="18"/>
              </w:rPr>
              <w:t>公司货币需求存货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-0.0586*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-0.0500*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-0.0692**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-0.0515*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-0.0642**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(0.097)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(0.090)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(0.023)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(0.051)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(0.012)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ascii="宋体" w:eastAsia="宋体" w:hAnsi="宋体" w:hint="eastAsia"/>
                <w:sz w:val="18"/>
                <w:szCs w:val="18"/>
              </w:rPr>
              <w:t>公司货币需求销售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-0.132***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-0.113***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-0.0762**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-0.102***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-0.0984***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(0.001)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(0.001)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(0.045)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(0.001)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(0.001)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eastAsia="宋体"/>
                <w:sz w:val="18"/>
                <w:szCs w:val="18"/>
              </w:rPr>
              <w:t>EFN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0.000578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0.000992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0.000857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0.000499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0.000878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(0.810)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(0.672)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(0.708)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(0.757)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(0.559)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eastAsia="宋体"/>
                <w:sz w:val="18"/>
                <w:szCs w:val="18"/>
              </w:rPr>
              <w:t>Constant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5.908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0.969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0.118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-0.272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-0.772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(0.168)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(0.381)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(0.907)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(0.708)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(0.255)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C12BE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eastAsia="宋体"/>
                <w:iCs/>
                <w:sz w:val="18"/>
                <w:szCs w:val="18"/>
              </w:rPr>
              <w:t>Observations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2119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3294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4447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5532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6841</w:t>
            </w:r>
          </w:p>
        </w:tc>
      </w:tr>
    </w:tbl>
    <w:p w:rsidR="0013414A" w:rsidRPr="00B408BC" w:rsidRDefault="0013414A" w:rsidP="0013414A">
      <w:pPr>
        <w:topLinePunct/>
        <w:spacing w:line="360" w:lineRule="auto"/>
        <w:ind w:firstLineChars="200" w:firstLine="360"/>
        <w:rPr>
          <w:rFonts w:eastAsia="黑体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656"/>
        <w:gridCol w:w="1328"/>
        <w:gridCol w:w="1328"/>
        <w:gridCol w:w="1330"/>
        <w:gridCol w:w="1328"/>
        <w:gridCol w:w="1330"/>
      </w:tblGrid>
      <w:tr w:rsidR="0013414A" w:rsidRPr="00D21717" w:rsidTr="002A771E">
        <w:tc>
          <w:tcPr>
            <w:tcW w:w="99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(6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(7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(8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(9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(10</w:t>
            </w:r>
            <w:r w:rsidRPr="00D21717">
              <w:rPr>
                <w:rFonts w:eastAsia="宋体"/>
                <w:sz w:val="18"/>
                <w:szCs w:val="18"/>
              </w:rPr>
              <w:t>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2006 - </w:t>
            </w:r>
            <w:r w:rsidRPr="00D21717">
              <w:rPr>
                <w:rFonts w:eastAsia="宋体"/>
                <w:sz w:val="18"/>
                <w:szCs w:val="18"/>
              </w:rPr>
              <w:t>2013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2007 - </w:t>
            </w:r>
            <w:r w:rsidRPr="00D21717">
              <w:rPr>
                <w:rFonts w:eastAsia="宋体"/>
                <w:sz w:val="18"/>
                <w:szCs w:val="18"/>
              </w:rPr>
              <w:t>2014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2008 - </w:t>
            </w:r>
            <w:r w:rsidRPr="00D21717">
              <w:rPr>
                <w:rFonts w:eastAsia="宋体"/>
                <w:sz w:val="18"/>
                <w:szCs w:val="18"/>
              </w:rPr>
              <w:t>2015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2009 - </w:t>
            </w:r>
            <w:r w:rsidRPr="00D21717">
              <w:rPr>
                <w:rFonts w:eastAsia="宋体"/>
                <w:sz w:val="18"/>
                <w:szCs w:val="18"/>
              </w:rPr>
              <w:t>2016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2010 - </w:t>
            </w:r>
            <w:r w:rsidRPr="00D21717">
              <w:rPr>
                <w:rFonts w:eastAsia="宋体"/>
                <w:sz w:val="18"/>
                <w:szCs w:val="18"/>
              </w:rPr>
              <w:t>2017</w:t>
            </w:r>
          </w:p>
        </w:tc>
      </w:tr>
      <w:tr w:rsidR="0013414A" w:rsidRPr="00D21717" w:rsidTr="002A771E">
        <w:tc>
          <w:tcPr>
            <w:tcW w:w="99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eastAsia="宋体" w:hint="eastAsia"/>
                <w:sz w:val="18"/>
                <w:szCs w:val="18"/>
              </w:rPr>
              <w:t>净资产收益率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-0.0518***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-0.0484***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-0.0437***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-0.0512***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-0.0527***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eastAsia="宋体" w:hint="eastAsia"/>
                <w:sz w:val="18"/>
                <w:szCs w:val="18"/>
              </w:rPr>
              <w:t>资产负债率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0.0270***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0.0310***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0.0341***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0.0379***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0.0400***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eastAsia="宋体" w:hint="eastAsia"/>
                <w:sz w:val="18"/>
                <w:szCs w:val="18"/>
              </w:rPr>
              <w:t>现金比率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-0.903***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-0.835***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-0.855***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-0.781***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-0.754***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eastAsia="宋体" w:hint="eastAsia"/>
                <w:sz w:val="18"/>
                <w:szCs w:val="18"/>
              </w:rPr>
              <w:lastRenderedPageBreak/>
              <w:t>成长率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-0.0847**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-0.113***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-0.129***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-0.103***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-0.119***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(0.045)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(0.004)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(0.003)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(0.001)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eastAsia="宋体" w:hint="eastAsia"/>
                <w:sz w:val="18"/>
                <w:szCs w:val="18"/>
              </w:rPr>
              <w:t>是否国企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-0.125***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-0.0992***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-0.117***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-0.165***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-0.185***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(0.005)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(0.007)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eastAsia="宋体" w:hint="eastAsia"/>
                <w:sz w:val="18"/>
                <w:szCs w:val="18"/>
              </w:rPr>
              <w:t>政府支持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59.40***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68.55***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60.61***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64.45***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58.20***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eastAsia="宋体" w:hint="eastAsia"/>
                <w:sz w:val="18"/>
                <w:szCs w:val="18"/>
              </w:rPr>
              <w:t>行业货币需求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-0.557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-0.707**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-0.641*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-1.205**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-1.188*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(0.123)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(0.035)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(0.081)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(0.043)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(0.074)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eastAsia="宋体" w:hint="eastAsia"/>
                <w:sz w:val="18"/>
                <w:szCs w:val="18"/>
              </w:rPr>
              <w:t>roe</w:t>
            </w:r>
            <w:r w:rsidRPr="00C12BE7">
              <w:rPr>
                <w:rFonts w:eastAsia="宋体"/>
                <w:sz w:val="18"/>
                <w:szCs w:val="18"/>
              </w:rPr>
              <w:t>*</w:t>
            </w:r>
            <w:r w:rsidRPr="00C12BE7">
              <w:rPr>
                <w:rFonts w:eastAsia="宋体" w:hint="eastAsia"/>
                <w:sz w:val="18"/>
                <w:szCs w:val="18"/>
              </w:rPr>
              <w:t>行业货币需求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0.0226***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0.0205***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0.0169***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0.0218***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0.0239***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ascii="宋体" w:eastAsia="宋体" w:hAnsi="宋体" w:hint="eastAsia"/>
                <w:sz w:val="18"/>
                <w:szCs w:val="18"/>
              </w:rPr>
              <w:t>公司货币需求存货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-0.0329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-0.0366*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-0.0410*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-0.0325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-0.0171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(0.107)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(0.071)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(0.062)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(0.138)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(0.442)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ascii="宋体" w:eastAsia="宋体" w:hAnsi="宋体" w:hint="eastAsia"/>
                <w:sz w:val="18"/>
                <w:szCs w:val="18"/>
              </w:rPr>
              <w:t>公司货币需求销售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-0.115***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-0.0978***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-0.0960***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-0.0997***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-0.126***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(0.000)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eastAsia="宋体"/>
                <w:sz w:val="18"/>
                <w:szCs w:val="18"/>
              </w:rPr>
              <w:t>EFN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0.00111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0.00117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0.00258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0.00227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0.00194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(0.455)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(0.412)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(0.103)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(0.146)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(0.217)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eastAsia="宋体"/>
                <w:sz w:val="18"/>
                <w:szCs w:val="18"/>
              </w:rPr>
              <w:t>Constant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-0.815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-1.117**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-1.344**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-1.032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-0.985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(0.118)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(0.038)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(0.040)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(0.126)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(0.163)</w:t>
            </w:r>
          </w:p>
        </w:tc>
      </w:tr>
      <w:tr w:rsidR="0013414A" w:rsidRPr="00D21717" w:rsidTr="002A771E"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 w:rsidRPr="00C12BE7">
              <w:rPr>
                <w:rFonts w:eastAsia="宋体"/>
                <w:iCs/>
                <w:sz w:val="18"/>
                <w:szCs w:val="18"/>
              </w:rPr>
              <w:t>Observations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8305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9849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10281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10652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D21717" w:rsidRDefault="0013414A" w:rsidP="002A77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宋体"/>
                <w:sz w:val="18"/>
                <w:szCs w:val="18"/>
              </w:rPr>
            </w:pPr>
            <w:r w:rsidRPr="00D21717">
              <w:rPr>
                <w:rFonts w:eastAsia="宋体"/>
                <w:sz w:val="18"/>
                <w:szCs w:val="18"/>
              </w:rPr>
              <w:t>10017</w:t>
            </w:r>
          </w:p>
        </w:tc>
      </w:tr>
    </w:tbl>
    <w:p w:rsidR="0013414A" w:rsidRPr="00257088" w:rsidRDefault="0013414A" w:rsidP="0013414A">
      <w:pPr>
        <w:pStyle w:val="3"/>
        <w:rPr>
          <w:rStyle w:val="s2"/>
        </w:rPr>
      </w:pPr>
      <w:r w:rsidRPr="00257088">
        <w:rPr>
          <w:rStyle w:val="s2"/>
          <w:rFonts w:hint="eastAsia"/>
        </w:rPr>
        <w:t>附录</w:t>
      </w:r>
      <w:r w:rsidRPr="00257088">
        <w:rPr>
          <w:rStyle w:val="s2"/>
          <w:rFonts w:hint="eastAsia"/>
        </w:rPr>
        <w:t>C</w:t>
      </w:r>
    </w:p>
    <w:p w:rsidR="0013414A" w:rsidRPr="00257088" w:rsidRDefault="0013414A" w:rsidP="0013414A">
      <w:pPr>
        <w:topLinePunct/>
        <w:spacing w:line="360" w:lineRule="auto"/>
        <w:ind w:firstLineChars="200" w:firstLine="360"/>
        <w:jc w:val="center"/>
        <w:rPr>
          <w:rFonts w:ascii="黑体" w:eastAsia="黑体" w:hAnsi="黑体"/>
          <w:sz w:val="18"/>
          <w:szCs w:val="18"/>
        </w:rPr>
      </w:pPr>
      <w:r w:rsidRPr="00257088">
        <w:rPr>
          <w:rFonts w:ascii="黑体" w:eastAsia="黑体" w:hAnsi="黑体"/>
          <w:sz w:val="18"/>
          <w:szCs w:val="18"/>
        </w:rPr>
        <w:t>表</w:t>
      </w:r>
      <w:r w:rsidRPr="00257088">
        <w:rPr>
          <w:rFonts w:ascii="黑体" w:eastAsia="黑体" w:hAnsi="黑体" w:hint="eastAsia"/>
          <w:sz w:val="18"/>
          <w:szCs w:val="18"/>
        </w:rPr>
        <w:t>C1</w:t>
      </w:r>
      <w:r w:rsidRPr="00257088">
        <w:rPr>
          <w:rFonts w:ascii="黑体" w:eastAsia="黑体" w:hAnsi="黑体"/>
          <w:sz w:val="18"/>
          <w:szCs w:val="18"/>
        </w:rPr>
        <w:t>信贷数量和信贷增速的回归</w:t>
      </w:r>
      <w:r w:rsidRPr="00257088">
        <w:rPr>
          <w:rFonts w:ascii="黑体" w:eastAsia="黑体" w:hAnsi="黑体" w:hint="eastAsia"/>
          <w:sz w:val="18"/>
          <w:szCs w:val="18"/>
        </w:rPr>
        <w:t>（控制外部融资</w:t>
      </w:r>
      <w:r w:rsidRPr="00257088">
        <w:rPr>
          <w:rFonts w:ascii="黑体" w:eastAsia="黑体" w:hAnsi="黑体"/>
          <w:sz w:val="18"/>
          <w:szCs w:val="18"/>
        </w:rPr>
        <w:t>需求</w:t>
      </w:r>
      <w:r w:rsidRPr="00257088">
        <w:rPr>
          <w:rFonts w:ascii="黑体" w:eastAsia="黑体" w:hAnsi="黑体" w:hint="eastAsia"/>
          <w:sz w:val="18"/>
          <w:szCs w:val="18"/>
        </w:rPr>
        <w:t>）</w:t>
      </w:r>
    </w:p>
    <w:tbl>
      <w:tblPr>
        <w:tblW w:w="8789" w:type="dxa"/>
        <w:jc w:val="center"/>
        <w:tblLayout w:type="fixed"/>
        <w:tblLook w:val="0000" w:firstRow="0" w:lastRow="0" w:firstColumn="0" w:lastColumn="0" w:noHBand="0" w:noVBand="0"/>
      </w:tblPr>
      <w:tblGrid>
        <w:gridCol w:w="2331"/>
        <w:gridCol w:w="1780"/>
        <w:gridCol w:w="1418"/>
        <w:gridCol w:w="1689"/>
        <w:gridCol w:w="12"/>
        <w:gridCol w:w="1352"/>
        <w:gridCol w:w="207"/>
      </w:tblGrid>
      <w:tr w:rsidR="0013414A" w:rsidRPr="000B49B7" w:rsidTr="002A771E">
        <w:trPr>
          <w:jc w:val="center"/>
        </w:trPr>
        <w:tc>
          <w:tcPr>
            <w:tcW w:w="23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  <w:r w:rsidRPr="000B49B7">
              <w:rPr>
                <w:rFonts w:ascii="宋体" w:eastAsia="宋体" w:hAnsi="宋体"/>
                <w:sz w:val="18"/>
                <w:szCs w:val="18"/>
              </w:rPr>
              <w:t>(1a)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  <w:r w:rsidRPr="000B49B7">
              <w:rPr>
                <w:rFonts w:ascii="宋体" w:eastAsia="宋体" w:hAnsi="宋体"/>
                <w:sz w:val="18"/>
                <w:szCs w:val="18"/>
              </w:rPr>
              <w:t>(1b)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  <w:r w:rsidRPr="000B49B7">
              <w:rPr>
                <w:rFonts w:ascii="宋体" w:eastAsia="宋体" w:hAnsi="宋体"/>
                <w:sz w:val="18"/>
                <w:szCs w:val="18"/>
              </w:rPr>
              <w:t>(2a)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  <w:r w:rsidRPr="000B49B7">
              <w:rPr>
                <w:rFonts w:ascii="宋体" w:eastAsia="宋体" w:hAnsi="宋体"/>
                <w:sz w:val="18"/>
                <w:szCs w:val="18"/>
              </w:rPr>
              <w:t>(2b)</w:t>
            </w:r>
          </w:p>
        </w:tc>
      </w:tr>
      <w:tr w:rsidR="0013414A" w:rsidRPr="000B49B7" w:rsidTr="002A771E">
        <w:trPr>
          <w:jc w:val="center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  <w:r w:rsidRPr="000B49B7">
              <w:rPr>
                <w:rFonts w:ascii="宋体" w:eastAsia="宋体" w:hAnsi="宋体"/>
                <w:sz w:val="18"/>
                <w:szCs w:val="18"/>
              </w:rPr>
              <w:t>贷款数量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  <w:r w:rsidRPr="000B49B7">
              <w:rPr>
                <w:rFonts w:ascii="宋体" w:eastAsia="宋体" w:hAnsi="宋体"/>
                <w:sz w:val="18"/>
                <w:szCs w:val="18"/>
              </w:rPr>
              <w:t>贷款数量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  <w:r w:rsidRPr="000B49B7">
              <w:rPr>
                <w:rFonts w:ascii="宋体" w:eastAsia="宋体" w:hAnsi="宋体"/>
                <w:sz w:val="18"/>
                <w:szCs w:val="18"/>
              </w:rPr>
              <w:t>贷款增速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  <w:r w:rsidRPr="000B49B7">
              <w:rPr>
                <w:rFonts w:ascii="宋体" w:eastAsia="宋体" w:hAnsi="宋体"/>
                <w:sz w:val="18"/>
                <w:szCs w:val="18"/>
              </w:rPr>
              <w:t>贷款增速</w:t>
            </w:r>
          </w:p>
        </w:tc>
      </w:tr>
      <w:tr w:rsidR="0013414A" w:rsidRPr="001E7396" w:rsidTr="002A771E">
        <w:trPr>
          <w:jc w:val="center"/>
        </w:trPr>
        <w:tc>
          <w:tcPr>
            <w:tcW w:w="23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  <w:r w:rsidRPr="000B49B7">
              <w:rPr>
                <w:rFonts w:ascii="宋体" w:eastAsia="宋体" w:hAnsi="宋体"/>
                <w:sz w:val="18"/>
                <w:szCs w:val="18"/>
              </w:rPr>
              <w:t>净资产收益率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-0.00134***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-0.00134***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-0.000455***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-0.000454***</w:t>
            </w:r>
          </w:p>
        </w:tc>
      </w:tr>
      <w:tr w:rsidR="0013414A" w:rsidRPr="001E7396" w:rsidTr="002A771E">
        <w:trPr>
          <w:jc w:val="center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(0.000)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(0.000)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(0.000)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(0.000)</w:t>
            </w:r>
          </w:p>
        </w:tc>
      </w:tr>
      <w:tr w:rsidR="0013414A" w:rsidRPr="001E7396" w:rsidTr="002A771E">
        <w:trPr>
          <w:jc w:val="center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  <w:r w:rsidRPr="000B49B7">
              <w:rPr>
                <w:rFonts w:ascii="宋体" w:eastAsia="宋体" w:hAnsi="宋体"/>
                <w:sz w:val="18"/>
                <w:szCs w:val="18"/>
              </w:rPr>
              <w:t>公司规模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0.00856***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0.00851***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-0.00122**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-0.00125**</w:t>
            </w:r>
          </w:p>
        </w:tc>
      </w:tr>
      <w:tr w:rsidR="0013414A" w:rsidRPr="001E7396" w:rsidTr="002A771E">
        <w:trPr>
          <w:jc w:val="center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(0.002)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(0.002)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(0.048)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(0.043)</w:t>
            </w:r>
          </w:p>
        </w:tc>
      </w:tr>
      <w:tr w:rsidR="0013414A" w:rsidRPr="001E7396" w:rsidTr="002A771E">
        <w:trPr>
          <w:jc w:val="center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  <w:r w:rsidRPr="000B49B7">
              <w:rPr>
                <w:rFonts w:ascii="宋体" w:eastAsia="宋体" w:hAnsi="宋体"/>
                <w:sz w:val="18"/>
                <w:szCs w:val="18"/>
              </w:rPr>
              <w:t>成长率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-0.0151***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-0.0150***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0.00161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0.00102</w:t>
            </w:r>
          </w:p>
        </w:tc>
      </w:tr>
      <w:tr w:rsidR="0013414A" w:rsidRPr="001E7396" w:rsidTr="002A771E">
        <w:trPr>
          <w:jc w:val="center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(0.000)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(0.000)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(0.351)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(0.559)</w:t>
            </w:r>
          </w:p>
        </w:tc>
      </w:tr>
      <w:tr w:rsidR="0013414A" w:rsidRPr="001E7396" w:rsidTr="002A771E">
        <w:trPr>
          <w:jc w:val="center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  <w:r w:rsidRPr="000B49B7">
              <w:rPr>
                <w:rFonts w:ascii="宋体" w:eastAsia="宋体" w:hAnsi="宋体"/>
                <w:sz w:val="18"/>
                <w:szCs w:val="18"/>
              </w:rPr>
              <w:t>资本结构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-0.00419***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-0.00419***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-0.000994***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-0.000995***</w:t>
            </w:r>
          </w:p>
        </w:tc>
      </w:tr>
      <w:tr w:rsidR="0013414A" w:rsidRPr="001E7396" w:rsidTr="002A771E">
        <w:trPr>
          <w:jc w:val="center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(0.000)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(0.000)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(0.000)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(0.000)</w:t>
            </w:r>
          </w:p>
        </w:tc>
      </w:tr>
      <w:tr w:rsidR="0013414A" w:rsidRPr="001E7396" w:rsidTr="002A771E">
        <w:trPr>
          <w:jc w:val="center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  <w:r w:rsidRPr="000B49B7">
              <w:rPr>
                <w:rFonts w:ascii="宋体" w:eastAsia="宋体" w:hAnsi="宋体"/>
                <w:sz w:val="18"/>
                <w:szCs w:val="18"/>
              </w:rPr>
              <w:t>周转率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0.00140***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0.00138***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-0.00116***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-0.00117***</w:t>
            </w:r>
          </w:p>
        </w:tc>
      </w:tr>
      <w:tr w:rsidR="0013414A" w:rsidRPr="001E7396" w:rsidTr="002A771E">
        <w:trPr>
          <w:jc w:val="center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(0.000)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(0.000)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(0.000)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(0.000)</w:t>
            </w:r>
          </w:p>
        </w:tc>
      </w:tr>
      <w:tr w:rsidR="0013414A" w:rsidRPr="001E7396" w:rsidTr="002A771E">
        <w:trPr>
          <w:jc w:val="center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  <w:r w:rsidRPr="000B49B7">
              <w:rPr>
                <w:rFonts w:ascii="宋体" w:eastAsia="宋体" w:hAnsi="宋体"/>
                <w:sz w:val="18"/>
                <w:szCs w:val="18"/>
              </w:rPr>
              <w:t>政府支持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0.338**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0.342**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0.377*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0.375*</w:t>
            </w:r>
          </w:p>
        </w:tc>
      </w:tr>
      <w:tr w:rsidR="0013414A" w:rsidRPr="001E7396" w:rsidTr="002A771E">
        <w:trPr>
          <w:jc w:val="center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(0.032)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(0.030)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(0.082)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(0.084)</w:t>
            </w:r>
          </w:p>
        </w:tc>
      </w:tr>
      <w:tr w:rsidR="0013414A" w:rsidRPr="001E7396" w:rsidTr="002A771E">
        <w:trPr>
          <w:jc w:val="center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  <w:r w:rsidRPr="000B49B7">
              <w:rPr>
                <w:rFonts w:ascii="宋体" w:eastAsia="宋体" w:hAnsi="宋体"/>
                <w:sz w:val="18"/>
                <w:szCs w:val="18"/>
              </w:rPr>
              <w:t>货币需求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-0.0171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-0.0171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-0.00125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-0.00131</w:t>
            </w:r>
          </w:p>
        </w:tc>
      </w:tr>
      <w:tr w:rsidR="0013414A" w:rsidRPr="001E7396" w:rsidTr="002A771E">
        <w:trPr>
          <w:jc w:val="center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(0.341)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(0.340)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(0.882)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(0.876)</w:t>
            </w:r>
          </w:p>
        </w:tc>
      </w:tr>
      <w:tr w:rsidR="0013414A" w:rsidRPr="001E7396" w:rsidTr="002A771E">
        <w:trPr>
          <w:jc w:val="center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  <w:r w:rsidRPr="000B49B7">
              <w:rPr>
                <w:rFonts w:ascii="宋体" w:eastAsia="宋体" w:hAnsi="宋体" w:hint="eastAsia"/>
                <w:sz w:val="18"/>
                <w:szCs w:val="18"/>
              </w:rPr>
              <w:t>外部</w:t>
            </w:r>
            <w:r w:rsidRPr="000B49B7">
              <w:rPr>
                <w:rFonts w:ascii="宋体" w:eastAsia="宋体" w:hAnsi="宋体"/>
                <w:sz w:val="18"/>
                <w:szCs w:val="18"/>
              </w:rPr>
              <w:t>融资需求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-0.0000017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0.000141**</w:t>
            </w:r>
          </w:p>
        </w:tc>
      </w:tr>
      <w:tr w:rsidR="0013414A" w:rsidRPr="001E7396" w:rsidTr="002A771E">
        <w:trPr>
          <w:jc w:val="center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(0.976)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(0.025)</w:t>
            </w:r>
          </w:p>
        </w:tc>
      </w:tr>
      <w:tr w:rsidR="0013414A" w:rsidRPr="001E7396" w:rsidTr="002A771E">
        <w:trPr>
          <w:jc w:val="center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  <w:r w:rsidRPr="000B49B7">
              <w:rPr>
                <w:rFonts w:ascii="宋体" w:eastAsia="宋体" w:hAnsi="宋体"/>
                <w:sz w:val="18"/>
                <w:szCs w:val="18"/>
              </w:rPr>
              <w:t>个体效应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rFonts w:eastAsia="宋体"/>
                <w:sz w:val="18"/>
                <w:szCs w:val="18"/>
              </w:rPr>
              <w:t>控制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rFonts w:eastAsia="宋体"/>
                <w:sz w:val="18"/>
                <w:szCs w:val="18"/>
              </w:rPr>
              <w:t>控制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rFonts w:eastAsia="宋体"/>
                <w:sz w:val="18"/>
                <w:szCs w:val="18"/>
              </w:rPr>
              <w:t>控制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rFonts w:eastAsia="宋体"/>
                <w:sz w:val="18"/>
                <w:szCs w:val="18"/>
              </w:rPr>
              <w:t>控制</w:t>
            </w:r>
          </w:p>
        </w:tc>
      </w:tr>
      <w:tr w:rsidR="0013414A" w:rsidRPr="001E7396" w:rsidTr="002A771E">
        <w:trPr>
          <w:jc w:val="center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14A" w:rsidRPr="000B49B7" w:rsidRDefault="0013414A" w:rsidP="002A771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/>
                <w:sz w:val="18"/>
                <w:szCs w:val="18"/>
              </w:rPr>
            </w:pPr>
            <w:r w:rsidRPr="000B49B7">
              <w:rPr>
                <w:rFonts w:ascii="宋体" w:eastAsia="宋体" w:hAnsi="宋体" w:hint="eastAsia"/>
                <w:sz w:val="18"/>
                <w:szCs w:val="18"/>
              </w:rPr>
              <w:t>时间</w:t>
            </w:r>
            <w:r w:rsidRPr="000B49B7">
              <w:rPr>
                <w:rFonts w:ascii="宋体" w:eastAsia="宋体" w:hAnsi="宋体"/>
                <w:sz w:val="18"/>
                <w:szCs w:val="18"/>
              </w:rPr>
              <w:t>效应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rFonts w:eastAsia="宋体"/>
                <w:sz w:val="18"/>
                <w:szCs w:val="18"/>
              </w:rPr>
              <w:t>控制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rFonts w:eastAsia="宋体"/>
                <w:sz w:val="18"/>
                <w:szCs w:val="18"/>
              </w:rPr>
              <w:t>控制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rFonts w:eastAsia="宋体"/>
                <w:sz w:val="18"/>
                <w:szCs w:val="18"/>
              </w:rPr>
              <w:t>控制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rFonts w:eastAsia="宋体"/>
                <w:sz w:val="18"/>
                <w:szCs w:val="18"/>
              </w:rPr>
              <w:t>控制</w:t>
            </w:r>
          </w:p>
        </w:tc>
      </w:tr>
      <w:tr w:rsidR="0013414A" w:rsidRPr="001E7396" w:rsidTr="002A771E">
        <w:trPr>
          <w:jc w:val="center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B49B7">
              <w:rPr>
                <w:rFonts w:hint="eastAsia"/>
                <w:sz w:val="18"/>
                <w:szCs w:val="18"/>
              </w:rPr>
              <w:lastRenderedPageBreak/>
              <w:t>C</w:t>
            </w:r>
            <w:r w:rsidRPr="000B49B7">
              <w:rPr>
                <w:sz w:val="18"/>
                <w:szCs w:val="18"/>
              </w:rPr>
              <w:t>on</w:t>
            </w:r>
            <w:r w:rsidRPr="000B49B7">
              <w:rPr>
                <w:rFonts w:hint="eastAsia"/>
                <w:sz w:val="18"/>
                <w:szCs w:val="18"/>
              </w:rPr>
              <w:t>stant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0.159**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0.160**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0.0886***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0.0891***</w:t>
            </w:r>
          </w:p>
        </w:tc>
      </w:tr>
      <w:tr w:rsidR="0013414A" w:rsidRPr="001E7396" w:rsidTr="002A771E">
        <w:trPr>
          <w:jc w:val="center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(0.020)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(0.019)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(0.000)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(0.000)</w:t>
            </w:r>
          </w:p>
        </w:tc>
      </w:tr>
      <w:tr w:rsidR="0013414A" w:rsidRPr="001E7396" w:rsidTr="002A771E">
        <w:trPr>
          <w:jc w:val="center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Observations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20542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20522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19970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14A" w:rsidRPr="000B49B7" w:rsidRDefault="0013414A" w:rsidP="002A771E">
            <w:pPr>
              <w:topLinePunct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B49B7">
              <w:rPr>
                <w:sz w:val="18"/>
                <w:szCs w:val="18"/>
              </w:rPr>
              <w:t>19951</w:t>
            </w:r>
          </w:p>
        </w:tc>
      </w:tr>
      <w:tr w:rsidR="0013414A" w:rsidRPr="001E7396" w:rsidTr="002A771E">
        <w:tblPrEx>
          <w:tblLook w:val="04A0" w:firstRow="1" w:lastRow="0" w:firstColumn="1" w:lastColumn="0" w:noHBand="0" w:noVBand="1"/>
        </w:tblPrEx>
        <w:trPr>
          <w:gridAfter w:val="1"/>
          <w:wAfter w:w="207" w:type="dxa"/>
          <w:trHeight w:val="270"/>
          <w:jc w:val="center"/>
        </w:trPr>
        <w:tc>
          <w:tcPr>
            <w:tcW w:w="8582" w:type="dxa"/>
            <w:gridSpan w:val="6"/>
            <w:shd w:val="clear" w:color="auto" w:fill="auto"/>
            <w:noWrap/>
            <w:vAlign w:val="center"/>
            <w:hideMark/>
          </w:tcPr>
          <w:p w:rsidR="0013414A" w:rsidRPr="00257088" w:rsidRDefault="0013414A" w:rsidP="002A771E">
            <w:pPr>
              <w:topLinePunct/>
              <w:ind w:leftChars="-36" w:left="-86"/>
              <w:rPr>
                <w:rFonts w:ascii="楷体" w:eastAsia="楷体" w:hAnsi="楷体"/>
                <w:color w:val="000000" w:themeColor="text1"/>
                <w:sz w:val="21"/>
                <w:szCs w:val="18"/>
              </w:rPr>
            </w:pPr>
            <w:r w:rsidRPr="00257088">
              <w:rPr>
                <w:rFonts w:ascii="楷体" w:eastAsia="楷体" w:hAnsi="楷体"/>
                <w:color w:val="000000"/>
                <w:sz w:val="21"/>
                <w:szCs w:val="18"/>
              </w:rPr>
              <w:t>注1：括号内数字为相应的p值，</w:t>
            </w:r>
            <w:r w:rsidRPr="00257088">
              <w:rPr>
                <w:rFonts w:ascii="楷体" w:eastAsia="楷体" w:hAnsi="楷体"/>
                <w:color w:val="000000"/>
                <w:sz w:val="21"/>
                <w:szCs w:val="18"/>
                <w:vertAlign w:val="superscript"/>
              </w:rPr>
              <w:t>*</w:t>
            </w:r>
            <w:r w:rsidRPr="00257088">
              <w:rPr>
                <w:rFonts w:ascii="楷体" w:eastAsia="楷体" w:hAnsi="楷体"/>
                <w:color w:val="000000"/>
                <w:sz w:val="21"/>
                <w:szCs w:val="18"/>
              </w:rPr>
              <w:t>、</w:t>
            </w:r>
            <w:r w:rsidRPr="00257088">
              <w:rPr>
                <w:rFonts w:ascii="楷体" w:eastAsia="楷体" w:hAnsi="楷体"/>
                <w:color w:val="000000"/>
                <w:sz w:val="21"/>
                <w:szCs w:val="18"/>
                <w:vertAlign w:val="superscript"/>
              </w:rPr>
              <w:t>**</w:t>
            </w:r>
            <w:r w:rsidRPr="00257088">
              <w:rPr>
                <w:rFonts w:ascii="楷体" w:eastAsia="楷体" w:hAnsi="楷体"/>
                <w:color w:val="000000"/>
                <w:sz w:val="21"/>
                <w:szCs w:val="18"/>
              </w:rPr>
              <w:t>、</w:t>
            </w:r>
            <w:r w:rsidRPr="00257088">
              <w:rPr>
                <w:rFonts w:ascii="楷体" w:eastAsia="楷体" w:hAnsi="楷体"/>
                <w:color w:val="000000"/>
                <w:sz w:val="21"/>
                <w:szCs w:val="18"/>
                <w:vertAlign w:val="superscript"/>
              </w:rPr>
              <w:t>***</w:t>
            </w:r>
            <w:r w:rsidRPr="00257088">
              <w:rPr>
                <w:rFonts w:ascii="楷体" w:eastAsia="楷体" w:hAnsi="楷体"/>
                <w:color w:val="000000"/>
                <w:sz w:val="21"/>
                <w:szCs w:val="18"/>
              </w:rPr>
              <w:t>分别表示系数在10%、5%、1%的水平下显著</w:t>
            </w:r>
          </w:p>
        </w:tc>
      </w:tr>
      <w:tr w:rsidR="0013414A" w:rsidRPr="001E7396" w:rsidTr="002A771E">
        <w:tblPrEx>
          <w:tblLook w:val="04A0" w:firstRow="1" w:lastRow="0" w:firstColumn="1" w:lastColumn="0" w:noHBand="0" w:noVBand="1"/>
        </w:tblPrEx>
        <w:trPr>
          <w:gridAfter w:val="1"/>
          <w:wAfter w:w="207" w:type="dxa"/>
          <w:trHeight w:val="270"/>
          <w:jc w:val="center"/>
        </w:trPr>
        <w:tc>
          <w:tcPr>
            <w:tcW w:w="8582" w:type="dxa"/>
            <w:gridSpan w:val="6"/>
            <w:shd w:val="clear" w:color="auto" w:fill="auto"/>
            <w:noWrap/>
            <w:vAlign w:val="center"/>
          </w:tcPr>
          <w:p w:rsidR="0013414A" w:rsidRPr="00257088" w:rsidRDefault="0013414A" w:rsidP="002A771E">
            <w:pPr>
              <w:topLinePunct/>
              <w:ind w:leftChars="-36" w:left="-86"/>
              <w:rPr>
                <w:rFonts w:ascii="楷体" w:eastAsia="楷体" w:hAnsi="楷体"/>
                <w:color w:val="000000" w:themeColor="text1"/>
                <w:sz w:val="21"/>
                <w:szCs w:val="18"/>
              </w:rPr>
            </w:pPr>
            <w:r w:rsidRPr="00257088">
              <w:rPr>
                <w:rFonts w:ascii="楷体" w:eastAsia="楷体" w:hAnsi="楷体"/>
                <w:color w:val="000000"/>
                <w:sz w:val="21"/>
                <w:szCs w:val="18"/>
              </w:rPr>
              <w:t>注2：年度虚拟变量的结果没有在表中列出。</w:t>
            </w:r>
          </w:p>
        </w:tc>
      </w:tr>
      <w:tr w:rsidR="0013414A" w:rsidRPr="001E7396" w:rsidTr="002A771E">
        <w:tblPrEx>
          <w:tblLook w:val="04A0" w:firstRow="1" w:lastRow="0" w:firstColumn="1" w:lastColumn="0" w:noHBand="0" w:noVBand="1"/>
        </w:tblPrEx>
        <w:trPr>
          <w:gridAfter w:val="1"/>
          <w:wAfter w:w="207" w:type="dxa"/>
          <w:trHeight w:val="255"/>
          <w:jc w:val="center"/>
        </w:trPr>
        <w:tc>
          <w:tcPr>
            <w:tcW w:w="7218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414A" w:rsidRPr="00257088" w:rsidRDefault="0013414A" w:rsidP="002A771E">
            <w:pPr>
              <w:topLinePunct/>
              <w:spacing w:line="360" w:lineRule="auto"/>
              <w:rPr>
                <w:rFonts w:ascii="宋体" w:eastAsiaTheme="minorEastAsia" w:hAnsi="宋体"/>
              </w:rPr>
            </w:pPr>
          </w:p>
          <w:p w:rsidR="0013414A" w:rsidRPr="00257088" w:rsidRDefault="0013414A" w:rsidP="002A771E">
            <w:pPr>
              <w:topLinePunct/>
              <w:spacing w:line="360" w:lineRule="auto"/>
              <w:ind w:firstLineChars="200" w:firstLine="360"/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57088">
              <w:rPr>
                <w:rFonts w:ascii="黑体" w:eastAsia="黑体" w:hAnsi="黑体"/>
                <w:sz w:val="18"/>
                <w:szCs w:val="18"/>
              </w:rPr>
              <w:fldChar w:fldCharType="begin"/>
            </w:r>
            <w:r w:rsidRPr="00257088">
              <w:rPr>
                <w:rFonts w:ascii="黑体" w:eastAsia="黑体" w:hAnsi="黑体"/>
                <w:sz w:val="18"/>
                <w:szCs w:val="18"/>
              </w:rPr>
              <w:instrText xml:space="preserve"> LINK Excel.Sheet.12 "C:\\Users\\Administrator\\Desktop\\表X 信贷价格的回归.xlsx" "Table 1!R1C1:R40C5" \a \f 4 \h  \* MERGEFORMAT </w:instrText>
            </w:r>
            <w:r w:rsidRPr="00257088">
              <w:rPr>
                <w:rFonts w:ascii="黑体" w:eastAsia="黑体" w:hAnsi="黑体"/>
                <w:sz w:val="18"/>
                <w:szCs w:val="18"/>
              </w:rPr>
              <w:fldChar w:fldCharType="separate"/>
            </w:r>
            <w:r w:rsidRPr="00257088">
              <w:rPr>
                <w:rFonts w:ascii="黑体" w:eastAsia="黑体" w:hAnsi="黑体" w:hint="eastAsia"/>
                <w:sz w:val="18"/>
                <w:szCs w:val="18"/>
              </w:rPr>
              <w:t>表</w:t>
            </w:r>
            <w:r w:rsidRPr="00257088">
              <w:rPr>
                <w:rFonts w:ascii="黑体" w:eastAsia="黑体" w:hAnsi="黑体"/>
                <w:sz w:val="18"/>
                <w:szCs w:val="18"/>
              </w:rPr>
              <w:t>C</w:t>
            </w:r>
            <w:r w:rsidRPr="00257088">
              <w:rPr>
                <w:rFonts w:ascii="黑体" w:eastAsia="黑体" w:hAnsi="黑体" w:hint="eastAsia"/>
                <w:sz w:val="18"/>
                <w:szCs w:val="18"/>
              </w:rPr>
              <w:t>2信贷</w:t>
            </w:r>
            <w:r w:rsidRPr="00257088">
              <w:rPr>
                <w:rFonts w:ascii="黑体" w:eastAsia="黑体" w:hAnsi="黑体"/>
                <w:sz w:val="18"/>
                <w:szCs w:val="18"/>
              </w:rPr>
              <w:t>价格的回归</w:t>
            </w:r>
            <w:r w:rsidRPr="00257088">
              <w:rPr>
                <w:rFonts w:ascii="黑体" w:eastAsia="黑体" w:hAnsi="黑体"/>
                <w:sz w:val="18"/>
                <w:szCs w:val="18"/>
              </w:rPr>
              <w:fldChar w:fldCharType="end"/>
            </w:r>
            <w:r w:rsidRPr="00257088">
              <w:rPr>
                <w:rFonts w:ascii="黑体" w:eastAsia="黑体" w:hAnsi="黑体" w:hint="eastAsia"/>
                <w:sz w:val="18"/>
                <w:szCs w:val="18"/>
              </w:rPr>
              <w:t>（控制外部融资</w:t>
            </w:r>
            <w:r w:rsidRPr="00257088">
              <w:rPr>
                <w:rFonts w:ascii="黑体" w:eastAsia="黑体" w:hAnsi="黑体"/>
                <w:sz w:val="18"/>
                <w:szCs w:val="18"/>
              </w:rPr>
              <w:t>需求</w:t>
            </w:r>
            <w:r w:rsidRPr="00257088">
              <w:rPr>
                <w:rFonts w:ascii="黑体" w:eastAsia="黑体" w:hAnsi="黑体" w:hint="eastAsia"/>
                <w:sz w:val="18"/>
                <w:szCs w:val="18"/>
              </w:rPr>
              <w:t>）</w:t>
            </w:r>
          </w:p>
          <w:tbl>
            <w:tblPr>
              <w:tblW w:w="9846" w:type="dxa"/>
              <w:tblLayout w:type="fixed"/>
              <w:tblLook w:val="0000" w:firstRow="0" w:lastRow="0" w:firstColumn="0" w:lastColumn="0" w:noHBand="0" w:noVBand="0"/>
            </w:tblPr>
            <w:tblGrid>
              <w:gridCol w:w="2382"/>
              <w:gridCol w:w="3494"/>
              <w:gridCol w:w="2211"/>
              <w:gridCol w:w="1527"/>
              <w:gridCol w:w="232"/>
            </w:tblGrid>
            <w:tr w:rsidR="0013414A" w:rsidRPr="00BC7EA8" w:rsidTr="002A771E">
              <w:trPr>
                <w:trHeight w:val="203"/>
              </w:trPr>
              <w:tc>
                <w:tcPr>
                  <w:tcW w:w="238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</w:pPr>
                </w:p>
              </w:tc>
              <w:tc>
                <w:tcPr>
                  <w:tcW w:w="349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(1)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(</w:t>
                  </w:r>
                  <w:r w:rsidRPr="00E127C0">
                    <w:t>2</w:t>
                  </w:r>
                  <w:r w:rsidRPr="00BC7EA8">
                    <w:t>)</w:t>
                  </w:r>
                </w:p>
              </w:tc>
            </w:tr>
            <w:tr w:rsidR="0013414A" w:rsidRPr="00BC7EA8" w:rsidTr="002A771E">
              <w:trPr>
                <w:trHeight w:val="203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ind w:leftChars="-45" w:left="-108"/>
                  </w:pP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jc w:val="center"/>
                    <w:rPr>
                      <w:rFonts w:eastAsiaTheme="minorEastAsia"/>
                      <w:color w:val="000000"/>
                      <w:sz w:val="18"/>
                      <w:szCs w:val="18"/>
                    </w:rPr>
                  </w:pPr>
                  <w:r w:rsidRPr="000B49B7">
                    <w:rPr>
                      <w:rFonts w:ascii="宋体" w:eastAsia="宋体" w:hAnsi="宋体" w:cs="宋体" w:hint="eastAsia"/>
                      <w:sz w:val="18"/>
                      <w:szCs w:val="18"/>
                    </w:rPr>
                    <w:t>贷款成本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jc w:val="center"/>
                    <w:rPr>
                      <w:rFonts w:eastAsiaTheme="minorEastAsia"/>
                      <w:color w:val="000000"/>
                    </w:rPr>
                  </w:pPr>
                  <w:r w:rsidRPr="00BC7EA8">
                    <w:rPr>
                      <w:rFonts w:ascii="宋体" w:eastAsia="宋体" w:hAnsi="宋体" w:cs="宋体" w:hint="eastAsia"/>
                    </w:rPr>
                    <w:t>贷款成本</w:t>
                  </w:r>
                </w:p>
              </w:tc>
            </w:tr>
            <w:tr w:rsidR="0013414A" w:rsidRPr="00BC7EA8" w:rsidTr="002A771E">
              <w:trPr>
                <w:trHeight w:val="203"/>
              </w:trPr>
              <w:tc>
                <w:tcPr>
                  <w:tcW w:w="238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rFonts w:eastAsiaTheme="minorEastAsia"/>
                      <w:sz w:val="18"/>
                      <w:szCs w:val="18"/>
                    </w:rPr>
                  </w:pPr>
                  <w:r w:rsidRPr="000B49B7">
                    <w:rPr>
                      <w:rFonts w:ascii="宋体" w:eastAsia="宋体" w:hAnsi="宋体" w:cs="宋体" w:hint="eastAsia"/>
                      <w:sz w:val="18"/>
                      <w:szCs w:val="18"/>
                    </w:rPr>
                    <w:t>净资产收益率</w:t>
                  </w:r>
                </w:p>
              </w:tc>
              <w:tc>
                <w:tcPr>
                  <w:tcW w:w="349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-0.0444***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-</w:t>
                  </w:r>
                  <w:r w:rsidRPr="00E127C0">
                    <w:t>0</w:t>
                  </w:r>
                  <w:r w:rsidRPr="00BC7EA8">
                    <w:t>.</w:t>
                  </w:r>
                  <w:r w:rsidRPr="00E127C0">
                    <w:t>0271</w:t>
                  </w:r>
                  <w:r w:rsidRPr="00BC7EA8">
                    <w:rPr>
                      <w:vertAlign w:val="superscript"/>
                    </w:rPr>
                    <w:t>***</w:t>
                  </w:r>
                </w:p>
              </w:tc>
            </w:tr>
            <w:tr w:rsidR="0013414A" w:rsidRPr="00BC7EA8" w:rsidTr="002A771E">
              <w:trPr>
                <w:trHeight w:val="203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rFonts w:eastAsia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(0.000)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(</w:t>
                  </w:r>
                  <w:r w:rsidRPr="00E127C0">
                    <w:t>0</w:t>
                  </w:r>
                  <w:r w:rsidRPr="00BC7EA8">
                    <w:t>.</w:t>
                  </w:r>
                  <w:r w:rsidRPr="00E127C0">
                    <w:t>000</w:t>
                  </w:r>
                  <w:r w:rsidRPr="00BC7EA8">
                    <w:t>)</w:t>
                  </w:r>
                </w:p>
              </w:tc>
            </w:tr>
            <w:tr w:rsidR="0013414A" w:rsidRPr="00BC7EA8" w:rsidTr="002A771E">
              <w:trPr>
                <w:trHeight w:val="203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rFonts w:eastAsiaTheme="minorEastAsia"/>
                      <w:sz w:val="18"/>
                      <w:szCs w:val="18"/>
                    </w:rPr>
                  </w:pPr>
                  <w:r w:rsidRPr="000B49B7">
                    <w:rPr>
                      <w:rFonts w:ascii="宋体" w:eastAsia="宋体" w:hAnsi="宋体" w:cs="宋体" w:hint="eastAsia"/>
                      <w:sz w:val="18"/>
                      <w:szCs w:val="18"/>
                    </w:rPr>
                    <w:t>资产负债率</w:t>
                  </w: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0.0477***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E127C0">
                    <w:t>0</w:t>
                  </w:r>
                  <w:r w:rsidRPr="00BC7EA8">
                    <w:t>.</w:t>
                  </w:r>
                  <w:r w:rsidRPr="00E127C0">
                    <w:t>0352</w:t>
                  </w:r>
                  <w:r w:rsidRPr="00BC7EA8">
                    <w:rPr>
                      <w:vertAlign w:val="superscript"/>
                    </w:rPr>
                    <w:t>***</w:t>
                  </w:r>
                </w:p>
              </w:tc>
            </w:tr>
            <w:tr w:rsidR="0013414A" w:rsidRPr="00BC7EA8" w:rsidTr="002A771E">
              <w:trPr>
                <w:trHeight w:val="203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rFonts w:eastAsia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(0.000)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(</w:t>
                  </w:r>
                  <w:r w:rsidRPr="00E127C0">
                    <w:t>0</w:t>
                  </w:r>
                  <w:r w:rsidRPr="00BC7EA8">
                    <w:t>.</w:t>
                  </w:r>
                  <w:r w:rsidRPr="00E127C0">
                    <w:t>000</w:t>
                  </w:r>
                  <w:r w:rsidRPr="00BC7EA8">
                    <w:t>)</w:t>
                  </w:r>
                </w:p>
              </w:tc>
            </w:tr>
            <w:tr w:rsidR="0013414A" w:rsidRPr="00BC7EA8" w:rsidTr="002A771E">
              <w:trPr>
                <w:trHeight w:val="203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rFonts w:eastAsiaTheme="minorEastAsia"/>
                      <w:sz w:val="18"/>
                      <w:szCs w:val="18"/>
                    </w:rPr>
                  </w:pPr>
                  <w:r w:rsidRPr="000B49B7">
                    <w:rPr>
                      <w:rFonts w:ascii="宋体" w:eastAsia="宋体" w:hAnsi="宋体" w:cs="宋体" w:hint="eastAsia"/>
                      <w:sz w:val="18"/>
                      <w:szCs w:val="18"/>
                    </w:rPr>
                    <w:t>现金比率</w:t>
                  </w: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-0.807***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-</w:t>
                  </w:r>
                  <w:r w:rsidRPr="00E127C0">
                    <w:t>1</w:t>
                  </w:r>
                  <w:r w:rsidRPr="00BC7EA8">
                    <w:t>.</w:t>
                  </w:r>
                  <w:r w:rsidRPr="00E127C0">
                    <w:t>005</w:t>
                  </w:r>
                  <w:r w:rsidRPr="00BC7EA8">
                    <w:rPr>
                      <w:vertAlign w:val="superscript"/>
                    </w:rPr>
                    <w:t>***</w:t>
                  </w:r>
                </w:p>
              </w:tc>
            </w:tr>
            <w:tr w:rsidR="0013414A" w:rsidRPr="00BC7EA8" w:rsidTr="002A771E">
              <w:trPr>
                <w:trHeight w:val="203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rFonts w:eastAsia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(0.000)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(</w:t>
                  </w:r>
                  <w:r w:rsidRPr="00E127C0">
                    <w:t>0</w:t>
                  </w:r>
                  <w:r w:rsidRPr="00BC7EA8">
                    <w:t>.</w:t>
                  </w:r>
                  <w:r w:rsidRPr="00E127C0">
                    <w:t>000</w:t>
                  </w:r>
                  <w:r w:rsidRPr="00BC7EA8">
                    <w:t>)</w:t>
                  </w:r>
                </w:p>
              </w:tc>
            </w:tr>
            <w:tr w:rsidR="0013414A" w:rsidRPr="00BC7EA8" w:rsidTr="002A771E">
              <w:trPr>
                <w:trHeight w:val="203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rFonts w:eastAsiaTheme="minorEastAsia"/>
                      <w:sz w:val="18"/>
                      <w:szCs w:val="18"/>
                    </w:rPr>
                  </w:pPr>
                  <w:r w:rsidRPr="000B49B7">
                    <w:rPr>
                      <w:rFonts w:ascii="宋体" w:eastAsia="宋体" w:hAnsi="宋体" w:cs="宋体" w:hint="eastAsia"/>
                      <w:sz w:val="18"/>
                      <w:szCs w:val="18"/>
                    </w:rPr>
                    <w:t>成长率</w:t>
                  </w: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-0.126***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-</w:t>
                  </w:r>
                  <w:r w:rsidRPr="00E127C0">
                    <w:t>0</w:t>
                  </w:r>
                  <w:r w:rsidRPr="00BC7EA8">
                    <w:t>.</w:t>
                  </w:r>
                  <w:r w:rsidRPr="00E127C0">
                    <w:t>186</w:t>
                  </w:r>
                  <w:r w:rsidRPr="00BC7EA8">
                    <w:rPr>
                      <w:vertAlign w:val="superscript"/>
                    </w:rPr>
                    <w:t>***</w:t>
                  </w:r>
                </w:p>
              </w:tc>
            </w:tr>
            <w:tr w:rsidR="0013414A" w:rsidRPr="00BC7EA8" w:rsidTr="002A771E">
              <w:trPr>
                <w:trHeight w:val="203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rFonts w:eastAsia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(0.000)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(</w:t>
                  </w:r>
                  <w:r w:rsidRPr="00E127C0">
                    <w:t>0</w:t>
                  </w:r>
                  <w:r w:rsidRPr="00BC7EA8">
                    <w:t>.</w:t>
                  </w:r>
                  <w:r w:rsidRPr="00E127C0">
                    <w:t>000</w:t>
                  </w:r>
                  <w:r w:rsidRPr="00BC7EA8">
                    <w:t>)</w:t>
                  </w:r>
                </w:p>
              </w:tc>
            </w:tr>
            <w:tr w:rsidR="0013414A" w:rsidRPr="00BC7EA8" w:rsidTr="002A771E">
              <w:trPr>
                <w:trHeight w:val="203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rFonts w:eastAsiaTheme="minorEastAsia"/>
                      <w:sz w:val="18"/>
                      <w:szCs w:val="18"/>
                    </w:rPr>
                  </w:pPr>
                  <w:r w:rsidRPr="000B49B7">
                    <w:rPr>
                      <w:rFonts w:ascii="宋体" w:eastAsia="宋体" w:hAnsi="宋体" w:cs="宋体" w:hint="eastAsia"/>
                      <w:sz w:val="18"/>
                      <w:szCs w:val="18"/>
                    </w:rPr>
                    <w:t>企业性质</w:t>
                  </w: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-0.0899**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-</w:t>
                  </w:r>
                  <w:r w:rsidRPr="00E127C0">
                    <w:t>0</w:t>
                  </w:r>
                  <w:r w:rsidRPr="00BC7EA8">
                    <w:t>.</w:t>
                  </w:r>
                  <w:r w:rsidRPr="00E127C0">
                    <w:t>0768</w:t>
                  </w:r>
                  <w:r w:rsidRPr="00BC7EA8">
                    <w:rPr>
                      <w:vertAlign w:val="superscript"/>
                    </w:rPr>
                    <w:t>***</w:t>
                  </w:r>
                </w:p>
              </w:tc>
            </w:tr>
            <w:tr w:rsidR="0013414A" w:rsidRPr="00BC7EA8" w:rsidTr="002A771E">
              <w:trPr>
                <w:trHeight w:val="203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rFonts w:eastAsia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(0.025)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(</w:t>
                  </w:r>
                  <w:r w:rsidRPr="00E127C0">
                    <w:t>0</w:t>
                  </w:r>
                  <w:r w:rsidRPr="00BC7EA8">
                    <w:t>.</w:t>
                  </w:r>
                  <w:r w:rsidRPr="00E127C0">
                    <w:t>009</w:t>
                  </w:r>
                  <w:r w:rsidRPr="00BC7EA8">
                    <w:t>)</w:t>
                  </w:r>
                </w:p>
              </w:tc>
            </w:tr>
            <w:tr w:rsidR="0013414A" w:rsidRPr="00BC7EA8" w:rsidTr="002A771E">
              <w:trPr>
                <w:trHeight w:val="203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rFonts w:eastAsiaTheme="minorEastAsia"/>
                      <w:sz w:val="18"/>
                      <w:szCs w:val="18"/>
                    </w:rPr>
                  </w:pPr>
                  <w:r w:rsidRPr="000B49B7">
                    <w:rPr>
                      <w:rFonts w:ascii="宋体" w:eastAsia="宋体" w:hAnsi="宋体" w:cs="宋体" w:hint="eastAsia"/>
                      <w:sz w:val="18"/>
                      <w:szCs w:val="18"/>
                    </w:rPr>
                    <w:t>政府支持</w:t>
                  </w: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55.25***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-</w:t>
                  </w:r>
                  <w:r w:rsidRPr="00E127C0">
                    <w:t>2</w:t>
                  </w:r>
                  <w:r w:rsidRPr="00BC7EA8">
                    <w:t>.</w:t>
                  </w:r>
                  <w:r w:rsidRPr="00E127C0">
                    <w:t>795</w:t>
                  </w:r>
                </w:p>
              </w:tc>
            </w:tr>
            <w:tr w:rsidR="0013414A" w:rsidRPr="00BC7EA8" w:rsidTr="002A771E">
              <w:trPr>
                <w:trHeight w:val="203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rFonts w:eastAsia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(0.000)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(</w:t>
                  </w:r>
                  <w:r w:rsidRPr="00E127C0">
                    <w:t>0</w:t>
                  </w:r>
                  <w:r w:rsidRPr="00BC7EA8">
                    <w:t>.</w:t>
                  </w:r>
                  <w:r w:rsidRPr="00E127C0">
                    <w:t>359</w:t>
                  </w:r>
                  <w:r w:rsidRPr="00BC7EA8">
                    <w:t>)</w:t>
                  </w:r>
                </w:p>
              </w:tc>
            </w:tr>
            <w:tr w:rsidR="0013414A" w:rsidRPr="00BC7EA8" w:rsidTr="002A771E">
              <w:trPr>
                <w:trHeight w:val="203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rFonts w:eastAsiaTheme="minorEastAsia"/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M2</w:t>
                  </w:r>
                  <w:r w:rsidRPr="000B49B7">
                    <w:rPr>
                      <w:rFonts w:ascii="宋体" w:eastAsia="宋体" w:hAnsi="宋体" w:cs="宋体" w:hint="eastAsia"/>
                      <w:sz w:val="18"/>
                      <w:szCs w:val="18"/>
                    </w:rPr>
                    <w:t>增速</w:t>
                  </w:r>
                  <w:r w:rsidRPr="000B49B7">
                    <w:rPr>
                      <w:sz w:val="18"/>
                      <w:szCs w:val="18"/>
                    </w:rPr>
                    <w:t>*</w:t>
                  </w:r>
                  <w:r w:rsidRPr="000B49B7">
                    <w:rPr>
                      <w:rFonts w:ascii="宋体" w:eastAsia="宋体" w:hAnsi="宋体" w:cs="宋体" w:hint="eastAsia"/>
                      <w:sz w:val="18"/>
                      <w:szCs w:val="18"/>
                    </w:rPr>
                    <w:t>资产负债率</w:t>
                  </w: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-0.000793***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-</w:t>
                  </w:r>
                  <w:r w:rsidRPr="00E127C0">
                    <w:t>0</w:t>
                  </w:r>
                  <w:r w:rsidRPr="00BC7EA8">
                    <w:t>.</w:t>
                  </w:r>
                  <w:r w:rsidRPr="00E127C0">
                    <w:t>0733</w:t>
                  </w:r>
                  <w:r w:rsidRPr="00BC7EA8">
                    <w:rPr>
                      <w:vertAlign w:val="superscript"/>
                    </w:rPr>
                    <w:t>***</w:t>
                  </w:r>
                </w:p>
              </w:tc>
            </w:tr>
            <w:tr w:rsidR="0013414A" w:rsidRPr="00BC7EA8" w:rsidTr="002A771E">
              <w:trPr>
                <w:trHeight w:val="203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rFonts w:eastAsia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(0.000)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(</w:t>
                  </w:r>
                  <w:r w:rsidRPr="00E127C0">
                    <w:t>0</w:t>
                  </w:r>
                  <w:r w:rsidRPr="00BC7EA8">
                    <w:t>.</w:t>
                  </w:r>
                  <w:r w:rsidRPr="00E127C0">
                    <w:t>000</w:t>
                  </w:r>
                  <w:r w:rsidRPr="00BC7EA8">
                    <w:t>)</w:t>
                  </w:r>
                </w:p>
              </w:tc>
            </w:tr>
            <w:tr w:rsidR="0013414A" w:rsidRPr="00BC7EA8" w:rsidTr="002A771E">
              <w:trPr>
                <w:trHeight w:val="203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rFonts w:eastAsiaTheme="minorEastAsia"/>
                      <w:sz w:val="18"/>
                      <w:szCs w:val="18"/>
                    </w:rPr>
                  </w:pPr>
                  <w:r w:rsidRPr="000B49B7">
                    <w:rPr>
                      <w:rFonts w:ascii="宋体" w:eastAsia="宋体" w:hAnsi="宋体" w:cs="宋体" w:hint="eastAsia"/>
                      <w:sz w:val="18"/>
                      <w:szCs w:val="18"/>
                    </w:rPr>
                    <w:t>行业货币需求</w:t>
                  </w: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-0.566*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-</w:t>
                  </w:r>
                  <w:r w:rsidRPr="00E127C0">
                    <w:t>0</w:t>
                  </w:r>
                  <w:r w:rsidRPr="00BC7EA8">
                    <w:t>.</w:t>
                  </w:r>
                  <w:r w:rsidRPr="00E127C0">
                    <w:t>143</w:t>
                  </w:r>
                </w:p>
              </w:tc>
            </w:tr>
            <w:tr w:rsidR="0013414A" w:rsidRPr="00BC7EA8" w:rsidTr="002A771E">
              <w:trPr>
                <w:trHeight w:val="460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rFonts w:eastAsia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(0.054)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(</w:t>
                  </w:r>
                  <w:r w:rsidRPr="00E127C0">
                    <w:t>0</w:t>
                  </w:r>
                  <w:r w:rsidRPr="00BC7EA8">
                    <w:t>.</w:t>
                  </w:r>
                  <w:r w:rsidRPr="00E127C0">
                    <w:t>128</w:t>
                  </w:r>
                  <w:r w:rsidRPr="00BC7EA8">
                    <w:t>)</w:t>
                  </w:r>
                </w:p>
              </w:tc>
            </w:tr>
            <w:tr w:rsidR="0013414A" w:rsidRPr="00BC7EA8" w:rsidTr="002A771E">
              <w:trPr>
                <w:trHeight w:val="460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rFonts w:eastAsiaTheme="minorEastAsia"/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roe*</w:t>
                  </w:r>
                  <w:r w:rsidRPr="000B49B7">
                    <w:rPr>
                      <w:rFonts w:ascii="宋体" w:eastAsia="宋体" w:hAnsi="宋体" w:cs="宋体" w:hint="eastAsia"/>
                      <w:sz w:val="18"/>
                      <w:szCs w:val="18"/>
                    </w:rPr>
                    <w:t>货币需求</w:t>
                  </w: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0.0171***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E127C0">
                    <w:t>0</w:t>
                  </w:r>
                  <w:r w:rsidRPr="00BC7EA8">
                    <w:t>.</w:t>
                  </w:r>
                  <w:r w:rsidRPr="00E127C0">
                    <w:t>00770</w:t>
                  </w:r>
                  <w:r w:rsidRPr="00BC7EA8">
                    <w:rPr>
                      <w:vertAlign w:val="superscript"/>
                    </w:rPr>
                    <w:t>***</w:t>
                  </w:r>
                </w:p>
              </w:tc>
            </w:tr>
            <w:tr w:rsidR="0013414A" w:rsidRPr="00BC7EA8" w:rsidTr="002A771E">
              <w:trPr>
                <w:trHeight w:val="460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(0.000)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(</w:t>
                  </w:r>
                  <w:r w:rsidRPr="00E127C0">
                    <w:t>0</w:t>
                  </w:r>
                  <w:r w:rsidRPr="00BC7EA8">
                    <w:t>.</w:t>
                  </w:r>
                  <w:r w:rsidRPr="00E127C0">
                    <w:t>000</w:t>
                  </w:r>
                  <w:r w:rsidRPr="00BC7EA8">
                    <w:t>)</w:t>
                  </w:r>
                </w:p>
              </w:tc>
            </w:tr>
            <w:tr w:rsidR="0013414A" w:rsidRPr="00BC7EA8" w:rsidTr="002A771E">
              <w:trPr>
                <w:trHeight w:val="460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0B49B7">
                    <w:rPr>
                      <w:rFonts w:ascii="宋体" w:eastAsia="宋体" w:hAnsi="宋体" w:cs="宋体" w:hint="eastAsia"/>
                      <w:sz w:val="18"/>
                      <w:szCs w:val="18"/>
                    </w:rPr>
                    <w:t>公司货币需求存货</w:t>
                  </w: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-0.0317*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-</w:t>
                  </w:r>
                  <w:r w:rsidRPr="00E127C0">
                    <w:t>0</w:t>
                  </w:r>
                  <w:r w:rsidRPr="00BC7EA8">
                    <w:t>.</w:t>
                  </w:r>
                  <w:r w:rsidRPr="00E127C0">
                    <w:t>0207</w:t>
                  </w:r>
                  <w:r w:rsidRPr="00BC7EA8">
                    <w:rPr>
                      <w:vertAlign w:val="superscript"/>
                    </w:rPr>
                    <w:t>**</w:t>
                  </w:r>
                </w:p>
              </w:tc>
            </w:tr>
            <w:tr w:rsidR="0013414A" w:rsidRPr="00BC7EA8" w:rsidTr="002A771E">
              <w:trPr>
                <w:trHeight w:val="460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(0.085)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(</w:t>
                  </w:r>
                  <w:r w:rsidRPr="00E127C0">
                    <w:t>0</w:t>
                  </w:r>
                  <w:r w:rsidRPr="00BC7EA8">
                    <w:t>.</w:t>
                  </w:r>
                  <w:r w:rsidRPr="00E127C0">
                    <w:t>023</w:t>
                  </w:r>
                  <w:r w:rsidRPr="00BC7EA8">
                    <w:t>)</w:t>
                  </w:r>
                </w:p>
              </w:tc>
            </w:tr>
            <w:tr w:rsidR="0013414A" w:rsidRPr="00BC7EA8" w:rsidTr="002A771E">
              <w:trPr>
                <w:trHeight w:val="449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0B49B7">
                    <w:rPr>
                      <w:rFonts w:ascii="宋体" w:eastAsia="宋体" w:hAnsi="宋体" w:cs="宋体" w:hint="eastAsia"/>
                      <w:sz w:val="18"/>
                      <w:szCs w:val="18"/>
                    </w:rPr>
                    <w:t>公司货币需求销售</w:t>
                  </w: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-0.131***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-</w:t>
                  </w:r>
                  <w:r w:rsidRPr="00E127C0">
                    <w:t>0</w:t>
                  </w:r>
                  <w:r w:rsidRPr="00BC7EA8">
                    <w:t>.</w:t>
                  </w:r>
                  <w:r w:rsidRPr="00E127C0">
                    <w:t>156</w:t>
                  </w:r>
                  <w:r w:rsidRPr="00BC7EA8">
                    <w:rPr>
                      <w:vertAlign w:val="superscript"/>
                    </w:rPr>
                    <w:t>***</w:t>
                  </w:r>
                </w:p>
              </w:tc>
            </w:tr>
            <w:tr w:rsidR="0013414A" w:rsidRPr="00BC7EA8" w:rsidTr="002A771E">
              <w:trPr>
                <w:trHeight w:val="460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(0.000)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(</w:t>
                  </w:r>
                  <w:r w:rsidRPr="00E127C0">
                    <w:t>0</w:t>
                  </w:r>
                  <w:r w:rsidRPr="00BC7EA8">
                    <w:t>.</w:t>
                  </w:r>
                  <w:r w:rsidRPr="00E127C0">
                    <w:t>000</w:t>
                  </w:r>
                  <w:r w:rsidRPr="00BC7EA8">
                    <w:t>)</w:t>
                  </w:r>
                </w:p>
              </w:tc>
            </w:tr>
            <w:tr w:rsidR="0013414A" w:rsidRPr="00BC7EA8" w:rsidTr="002A771E">
              <w:trPr>
                <w:trHeight w:val="460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0B49B7">
                    <w:rPr>
                      <w:rFonts w:ascii="宋体" w:eastAsia="宋体" w:hAnsi="宋体" w:cs="宋体" w:hint="eastAsia"/>
                      <w:sz w:val="18"/>
                      <w:szCs w:val="18"/>
                    </w:rPr>
                    <w:t>外部融资需求</w:t>
                  </w: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0.00127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-</w:t>
                  </w:r>
                  <w:r w:rsidRPr="00E127C0">
                    <w:t>0</w:t>
                  </w:r>
                  <w:r w:rsidRPr="00BC7EA8">
                    <w:t>.</w:t>
                  </w:r>
                  <w:r w:rsidRPr="00E127C0">
                    <w:t>000650</w:t>
                  </w:r>
                </w:p>
              </w:tc>
            </w:tr>
            <w:tr w:rsidR="0013414A" w:rsidRPr="00BC7EA8" w:rsidTr="002A771E">
              <w:trPr>
                <w:trHeight w:val="460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(0.303)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(</w:t>
                  </w:r>
                  <w:r w:rsidRPr="00E127C0">
                    <w:t>0</w:t>
                  </w:r>
                  <w:r w:rsidRPr="00BC7EA8">
                    <w:t>.</w:t>
                  </w:r>
                  <w:r w:rsidRPr="00E127C0">
                    <w:t>354</w:t>
                  </w:r>
                  <w:r w:rsidRPr="00BC7EA8">
                    <w:t>)</w:t>
                  </w:r>
                </w:p>
              </w:tc>
            </w:tr>
            <w:tr w:rsidR="0013414A" w:rsidRPr="00BC7EA8" w:rsidTr="002A771E">
              <w:trPr>
                <w:trHeight w:val="460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0B49B7">
                    <w:rPr>
                      <w:rFonts w:ascii="宋体" w:eastAsia="宋体" w:hAnsi="宋体" w:cs="宋体" w:hint="eastAsia"/>
                      <w:sz w:val="18"/>
                      <w:szCs w:val="18"/>
                    </w:rPr>
                    <w:t>个体效应</w:t>
                  </w: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  <w:t>控制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rPr>
                      <w:rFonts w:ascii="宋体" w:eastAsia="宋体" w:hAnsi="宋体" w:cs="宋体" w:hint="eastAsia"/>
                      <w:color w:val="000000"/>
                    </w:rPr>
                    <w:t>控制</w:t>
                  </w:r>
                </w:p>
              </w:tc>
            </w:tr>
            <w:tr w:rsidR="0013414A" w:rsidRPr="00BC7EA8" w:rsidTr="002A771E">
              <w:trPr>
                <w:trHeight w:val="460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0B49B7">
                    <w:rPr>
                      <w:rFonts w:ascii="宋体" w:eastAsia="宋体" w:hAnsi="宋体" w:cs="宋体" w:hint="eastAsia"/>
                      <w:sz w:val="18"/>
                      <w:szCs w:val="18"/>
                    </w:rPr>
                    <w:t>时间效应</w:t>
                  </w: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rFonts w:ascii="宋体" w:eastAsia="宋体" w:hAnsi="宋体" w:cs="宋体" w:hint="eastAsia"/>
                      <w:color w:val="000000"/>
                      <w:sz w:val="18"/>
                      <w:szCs w:val="18"/>
                    </w:rPr>
                    <w:t>控制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rPr>
                      <w:rFonts w:ascii="宋体" w:eastAsia="宋体" w:hAnsi="宋体" w:cs="宋体" w:hint="eastAsia"/>
                      <w:color w:val="000000"/>
                    </w:rPr>
                    <w:t>控制</w:t>
                  </w:r>
                </w:p>
              </w:tc>
            </w:tr>
            <w:tr w:rsidR="0013414A" w:rsidRPr="00BC7EA8" w:rsidTr="002A771E">
              <w:trPr>
                <w:trHeight w:val="460"/>
              </w:trPr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Constant</w:t>
                  </w: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-1.365**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E127C0">
                    <w:t>1</w:t>
                  </w:r>
                  <w:r w:rsidRPr="00BC7EA8">
                    <w:t>.</w:t>
                  </w:r>
                  <w:r w:rsidRPr="00E127C0">
                    <w:t>422</w:t>
                  </w:r>
                  <w:r w:rsidRPr="00BC7EA8">
                    <w:rPr>
                      <w:vertAlign w:val="superscript"/>
                    </w:rPr>
                    <w:t>**</w:t>
                  </w:r>
                </w:p>
              </w:tc>
            </w:tr>
            <w:tr w:rsidR="0013414A" w:rsidRPr="00BC7EA8" w:rsidTr="002A771E">
              <w:trPr>
                <w:trHeight w:val="449"/>
              </w:trPr>
              <w:tc>
                <w:tcPr>
                  <w:tcW w:w="238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(0.016)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BC7EA8">
                    <w:t>(</w:t>
                  </w:r>
                  <w:r w:rsidRPr="00E127C0">
                    <w:t>0</w:t>
                  </w:r>
                  <w:r w:rsidRPr="00BC7EA8">
                    <w:t>.</w:t>
                  </w:r>
                  <w:r w:rsidRPr="00E127C0">
                    <w:t>048</w:t>
                  </w:r>
                  <w:r w:rsidRPr="00BC7EA8">
                    <w:t>)</w:t>
                  </w:r>
                </w:p>
              </w:tc>
            </w:tr>
            <w:tr w:rsidR="0013414A" w:rsidRPr="00BC7EA8" w:rsidTr="002A771E">
              <w:trPr>
                <w:trHeight w:val="460"/>
              </w:trPr>
              <w:tc>
                <w:tcPr>
                  <w:tcW w:w="238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lastRenderedPageBreak/>
                    <w:t>Observations</w:t>
                  </w:r>
                </w:p>
              </w:tc>
              <w:tc>
                <w:tcPr>
                  <w:tcW w:w="34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3414A" w:rsidRPr="000B49B7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0B49B7">
                    <w:rPr>
                      <w:sz w:val="18"/>
                      <w:szCs w:val="18"/>
                    </w:rPr>
                    <w:t>13332</w:t>
                  </w:r>
                </w:p>
              </w:tc>
              <w:tc>
                <w:tcPr>
                  <w:tcW w:w="397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3414A" w:rsidRPr="00BC7EA8" w:rsidRDefault="0013414A" w:rsidP="002A771E">
                  <w:pPr>
                    <w:topLinePunct/>
                    <w:autoSpaceDE w:val="0"/>
                    <w:autoSpaceDN w:val="0"/>
                    <w:adjustRightInd w:val="0"/>
                    <w:jc w:val="center"/>
                  </w:pPr>
                  <w:r w:rsidRPr="00E127C0">
                    <w:t>22601</w:t>
                  </w:r>
                </w:p>
              </w:tc>
            </w:tr>
            <w:tr w:rsidR="0013414A" w:rsidRPr="00BC7EA8" w:rsidTr="002A771E">
              <w:tblPrEx>
                <w:tblLook w:val="04A0" w:firstRow="1" w:lastRow="0" w:firstColumn="1" w:lastColumn="0" w:noHBand="0" w:noVBand="1"/>
              </w:tblPrEx>
              <w:trPr>
                <w:gridAfter w:val="1"/>
                <w:wAfter w:w="232" w:type="dxa"/>
                <w:trHeight w:val="381"/>
              </w:trPr>
              <w:tc>
                <w:tcPr>
                  <w:tcW w:w="961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3414A" w:rsidRPr="00257088" w:rsidRDefault="0013414A" w:rsidP="002A771E">
                  <w:pPr>
                    <w:topLinePunct/>
                    <w:ind w:leftChars="-36" w:left="-86"/>
                    <w:rPr>
                      <w:rFonts w:ascii="楷体" w:eastAsia="楷体" w:hAnsi="楷体"/>
                      <w:color w:val="000000" w:themeColor="text1"/>
                      <w:sz w:val="21"/>
                      <w:szCs w:val="18"/>
                    </w:rPr>
                  </w:pPr>
                  <w:r w:rsidRPr="00257088">
                    <w:rPr>
                      <w:rFonts w:ascii="楷体" w:eastAsia="楷体" w:hAnsi="楷体"/>
                      <w:color w:val="000000"/>
                      <w:sz w:val="21"/>
                      <w:szCs w:val="18"/>
                    </w:rPr>
                    <w:t>注1：括号内数字为相应的p值，</w:t>
                  </w:r>
                  <w:r w:rsidRPr="00257088">
                    <w:rPr>
                      <w:rFonts w:ascii="楷体" w:eastAsia="楷体" w:hAnsi="楷体"/>
                      <w:color w:val="000000"/>
                      <w:sz w:val="21"/>
                      <w:szCs w:val="18"/>
                      <w:vertAlign w:val="superscript"/>
                    </w:rPr>
                    <w:t>*</w:t>
                  </w:r>
                  <w:r w:rsidRPr="00257088">
                    <w:rPr>
                      <w:rFonts w:ascii="楷体" w:eastAsia="楷体" w:hAnsi="楷体"/>
                      <w:color w:val="000000"/>
                      <w:sz w:val="21"/>
                      <w:szCs w:val="18"/>
                    </w:rPr>
                    <w:t>、</w:t>
                  </w:r>
                  <w:r w:rsidRPr="00257088">
                    <w:rPr>
                      <w:rFonts w:ascii="楷体" w:eastAsia="楷体" w:hAnsi="楷体"/>
                      <w:color w:val="000000"/>
                      <w:sz w:val="21"/>
                      <w:szCs w:val="18"/>
                      <w:vertAlign w:val="superscript"/>
                    </w:rPr>
                    <w:t>**</w:t>
                  </w:r>
                  <w:r w:rsidRPr="00257088">
                    <w:rPr>
                      <w:rFonts w:ascii="楷体" w:eastAsia="楷体" w:hAnsi="楷体"/>
                      <w:color w:val="000000"/>
                      <w:sz w:val="21"/>
                      <w:szCs w:val="18"/>
                    </w:rPr>
                    <w:t>、</w:t>
                  </w:r>
                  <w:r w:rsidRPr="00257088">
                    <w:rPr>
                      <w:rFonts w:ascii="楷体" w:eastAsia="楷体" w:hAnsi="楷体"/>
                      <w:color w:val="000000"/>
                      <w:sz w:val="21"/>
                      <w:szCs w:val="18"/>
                      <w:vertAlign w:val="superscript"/>
                    </w:rPr>
                    <w:t>***</w:t>
                  </w:r>
                  <w:r w:rsidRPr="00257088">
                    <w:rPr>
                      <w:rFonts w:ascii="楷体" w:eastAsia="楷体" w:hAnsi="楷体"/>
                      <w:color w:val="000000"/>
                      <w:sz w:val="21"/>
                      <w:szCs w:val="18"/>
                    </w:rPr>
                    <w:t>分别表示系数在10%、5%、1%</w:t>
                  </w:r>
                  <w:r w:rsidRPr="00257088">
                    <w:rPr>
                      <w:rFonts w:ascii="楷体" w:eastAsia="楷体" w:hAnsi="楷体"/>
                      <w:color w:val="000000"/>
                      <w:sz w:val="21"/>
                      <w:szCs w:val="18"/>
                    </w:rPr>
                    <w:br/>
                    <w:t>的水平下显著。估计结果由stata12得出。</w:t>
                  </w:r>
                </w:p>
              </w:tc>
            </w:tr>
            <w:tr w:rsidR="0013414A" w:rsidRPr="000B49B7" w:rsidTr="002A771E">
              <w:tblPrEx>
                <w:tblLook w:val="04A0" w:firstRow="1" w:lastRow="0" w:firstColumn="1" w:lastColumn="0" w:noHBand="0" w:noVBand="1"/>
              </w:tblPrEx>
              <w:trPr>
                <w:gridAfter w:val="2"/>
                <w:wAfter w:w="1759" w:type="dxa"/>
                <w:trHeight w:val="359"/>
              </w:trPr>
              <w:tc>
                <w:tcPr>
                  <w:tcW w:w="808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3414A" w:rsidRPr="00257088" w:rsidRDefault="0013414A" w:rsidP="002A771E">
                  <w:pPr>
                    <w:topLinePunct/>
                    <w:ind w:leftChars="-36" w:left="-86"/>
                    <w:rPr>
                      <w:rFonts w:ascii="楷体" w:eastAsia="楷体" w:hAnsi="楷体"/>
                      <w:color w:val="000000"/>
                      <w:sz w:val="21"/>
                      <w:szCs w:val="18"/>
                    </w:rPr>
                  </w:pPr>
                  <w:r w:rsidRPr="00257088">
                    <w:rPr>
                      <w:rFonts w:ascii="楷体" w:eastAsia="楷体" w:hAnsi="楷体"/>
                      <w:color w:val="000000"/>
                      <w:sz w:val="21"/>
                      <w:szCs w:val="18"/>
                    </w:rPr>
                    <w:t>注2：年度虚拟变量的结果没有在表中列出。</w:t>
                  </w:r>
                </w:p>
                <w:p w:rsidR="0013414A" w:rsidRPr="00257088" w:rsidRDefault="0013414A" w:rsidP="002A771E">
                  <w:pPr>
                    <w:topLinePunct/>
                    <w:ind w:leftChars="-36" w:left="-86"/>
                    <w:rPr>
                      <w:rFonts w:ascii="楷体" w:eastAsia="楷体" w:hAnsi="楷体"/>
                      <w:color w:val="000000"/>
                      <w:sz w:val="21"/>
                      <w:szCs w:val="18"/>
                    </w:rPr>
                  </w:pPr>
                </w:p>
                <w:p w:rsidR="0013414A" w:rsidRPr="00257088" w:rsidRDefault="0013414A" w:rsidP="002A771E">
                  <w:pPr>
                    <w:topLinePunct/>
                    <w:ind w:leftChars="-36" w:left="-86"/>
                    <w:rPr>
                      <w:rFonts w:ascii="楷体" w:eastAsia="楷体" w:hAnsi="楷体"/>
                      <w:color w:val="000000" w:themeColor="text1"/>
                      <w:sz w:val="21"/>
                      <w:szCs w:val="18"/>
                    </w:rPr>
                  </w:pPr>
                </w:p>
              </w:tc>
            </w:tr>
          </w:tbl>
          <w:p w:rsidR="0013414A" w:rsidRPr="00592960" w:rsidRDefault="0013414A" w:rsidP="002A771E">
            <w:pPr>
              <w:topLinePunct/>
              <w:ind w:leftChars="-36" w:left="-86"/>
              <w:rPr>
                <w:color w:val="000000" w:themeColor="text1"/>
              </w:rPr>
            </w:pPr>
          </w:p>
        </w:tc>
        <w:tc>
          <w:tcPr>
            <w:tcW w:w="136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414A" w:rsidRPr="001E7396" w:rsidRDefault="0013414A" w:rsidP="002A771E">
            <w:pPr>
              <w:topLinePunct/>
              <w:ind w:leftChars="-36" w:left="-86"/>
              <w:rPr>
                <w:color w:val="000000" w:themeColor="text1"/>
              </w:rPr>
            </w:pPr>
          </w:p>
        </w:tc>
      </w:tr>
    </w:tbl>
    <w:p w:rsidR="002F4974" w:rsidRDefault="002F4974"/>
    <w:sectPr w:rsidR="002F4974" w:rsidSect="00015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12D25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F74BC1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110A67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DC8A02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036643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7CEA21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3E07DB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A645FE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4FC8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7B6133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64735B"/>
    <w:multiLevelType w:val="hybridMultilevel"/>
    <w:tmpl w:val="07743428"/>
    <w:lvl w:ilvl="0" w:tplc="44D875B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CF4305"/>
    <w:multiLevelType w:val="hybridMultilevel"/>
    <w:tmpl w:val="9CB42D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9C03A3"/>
    <w:multiLevelType w:val="hybridMultilevel"/>
    <w:tmpl w:val="4D1CA010"/>
    <w:lvl w:ilvl="0" w:tplc="04090013">
      <w:start w:val="1"/>
      <w:numFmt w:val="chineseCountingThousand"/>
      <w:lvlText w:val="%1、"/>
      <w:lvlJc w:val="left"/>
      <w:pPr>
        <w:ind w:left="269" w:hanging="420"/>
      </w:pPr>
    </w:lvl>
    <w:lvl w:ilvl="1" w:tplc="04090019">
      <w:start w:val="1"/>
      <w:numFmt w:val="lowerLetter"/>
      <w:lvlText w:val="%2)"/>
      <w:lvlJc w:val="left"/>
      <w:pPr>
        <w:ind w:left="689" w:hanging="420"/>
      </w:pPr>
    </w:lvl>
    <w:lvl w:ilvl="2" w:tplc="0409001B">
      <w:start w:val="1"/>
      <w:numFmt w:val="lowerRoman"/>
      <w:lvlText w:val="%3."/>
      <w:lvlJc w:val="right"/>
      <w:pPr>
        <w:ind w:left="1109" w:hanging="420"/>
      </w:pPr>
    </w:lvl>
    <w:lvl w:ilvl="3" w:tplc="0409000F">
      <w:start w:val="1"/>
      <w:numFmt w:val="decimal"/>
      <w:lvlText w:val="%4."/>
      <w:lvlJc w:val="left"/>
      <w:pPr>
        <w:ind w:left="1529" w:hanging="420"/>
      </w:pPr>
    </w:lvl>
    <w:lvl w:ilvl="4" w:tplc="04090019" w:tentative="1">
      <w:start w:val="1"/>
      <w:numFmt w:val="lowerLetter"/>
      <w:lvlText w:val="%5)"/>
      <w:lvlJc w:val="left"/>
      <w:pPr>
        <w:ind w:left="1949" w:hanging="420"/>
      </w:pPr>
    </w:lvl>
    <w:lvl w:ilvl="5" w:tplc="0409001B" w:tentative="1">
      <w:start w:val="1"/>
      <w:numFmt w:val="lowerRoman"/>
      <w:lvlText w:val="%6."/>
      <w:lvlJc w:val="right"/>
      <w:pPr>
        <w:ind w:left="2369" w:hanging="420"/>
      </w:pPr>
    </w:lvl>
    <w:lvl w:ilvl="6" w:tplc="0409000F" w:tentative="1">
      <w:start w:val="1"/>
      <w:numFmt w:val="decimal"/>
      <w:lvlText w:val="%7."/>
      <w:lvlJc w:val="left"/>
      <w:pPr>
        <w:ind w:left="2789" w:hanging="420"/>
      </w:pPr>
    </w:lvl>
    <w:lvl w:ilvl="7" w:tplc="04090019" w:tentative="1">
      <w:start w:val="1"/>
      <w:numFmt w:val="lowerLetter"/>
      <w:lvlText w:val="%8)"/>
      <w:lvlJc w:val="left"/>
      <w:pPr>
        <w:ind w:left="3209" w:hanging="420"/>
      </w:pPr>
    </w:lvl>
    <w:lvl w:ilvl="8" w:tplc="0409001B" w:tentative="1">
      <w:start w:val="1"/>
      <w:numFmt w:val="lowerRoman"/>
      <w:lvlText w:val="%9."/>
      <w:lvlJc w:val="right"/>
      <w:pPr>
        <w:ind w:left="3629" w:hanging="420"/>
      </w:pPr>
    </w:lvl>
  </w:abstractNum>
  <w:abstractNum w:abstractNumId="13" w15:restartNumberingAfterBreak="0">
    <w:nsid w:val="25817346"/>
    <w:multiLevelType w:val="hybridMultilevel"/>
    <w:tmpl w:val="0464F2FC"/>
    <w:lvl w:ilvl="0" w:tplc="759C3FEE">
      <w:start w:val="1"/>
      <w:numFmt w:val="japaneseCounting"/>
      <w:lvlText w:val="%1、"/>
      <w:lvlJc w:val="left"/>
      <w:pPr>
        <w:ind w:left="90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832530B"/>
    <w:multiLevelType w:val="hybridMultilevel"/>
    <w:tmpl w:val="07824B4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29F55E87"/>
    <w:multiLevelType w:val="hybridMultilevel"/>
    <w:tmpl w:val="5CD6FA1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B64E34"/>
    <w:multiLevelType w:val="hybridMultilevel"/>
    <w:tmpl w:val="EC0AE26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40996708"/>
    <w:multiLevelType w:val="hybridMultilevel"/>
    <w:tmpl w:val="EB8044A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FE792B"/>
    <w:multiLevelType w:val="hybridMultilevel"/>
    <w:tmpl w:val="566CE110"/>
    <w:lvl w:ilvl="0" w:tplc="A410854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96A7574"/>
    <w:multiLevelType w:val="hybridMultilevel"/>
    <w:tmpl w:val="524EFDBE"/>
    <w:lvl w:ilvl="0" w:tplc="90DE2470">
      <w:start w:val="5"/>
      <w:numFmt w:val="japaneseCounting"/>
      <w:lvlText w:val="%1、"/>
      <w:lvlJc w:val="left"/>
      <w:pPr>
        <w:ind w:left="75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0" w15:restartNumberingAfterBreak="0">
    <w:nsid w:val="5E9F4914"/>
    <w:multiLevelType w:val="hybridMultilevel"/>
    <w:tmpl w:val="A8FEAC46"/>
    <w:lvl w:ilvl="0" w:tplc="759C3F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047502"/>
    <w:multiLevelType w:val="hybridMultilevel"/>
    <w:tmpl w:val="09EAB4E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 w15:restartNumberingAfterBreak="0">
    <w:nsid w:val="621C2455"/>
    <w:multiLevelType w:val="hybridMultilevel"/>
    <w:tmpl w:val="1B4A4B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501ABF"/>
    <w:multiLevelType w:val="hybridMultilevel"/>
    <w:tmpl w:val="A8429FAE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13">
      <w:start w:val="1"/>
      <w:numFmt w:val="chineseCountingThousand"/>
      <w:lvlText w:val="%4、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778F6A87"/>
    <w:multiLevelType w:val="hybridMultilevel"/>
    <w:tmpl w:val="80467C3E"/>
    <w:lvl w:ilvl="0" w:tplc="759C3F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3"/>
  </w:num>
  <w:num w:numId="3">
    <w:abstractNumId w:val="20"/>
  </w:num>
  <w:num w:numId="4">
    <w:abstractNumId w:val="12"/>
  </w:num>
  <w:num w:numId="5">
    <w:abstractNumId w:val="16"/>
  </w:num>
  <w:num w:numId="6">
    <w:abstractNumId w:val="21"/>
  </w:num>
  <w:num w:numId="7">
    <w:abstractNumId w:val="14"/>
  </w:num>
  <w:num w:numId="8">
    <w:abstractNumId w:val="22"/>
  </w:num>
  <w:num w:numId="9">
    <w:abstractNumId w:val="23"/>
  </w:num>
  <w:num w:numId="10">
    <w:abstractNumId w:val="17"/>
  </w:num>
  <w:num w:numId="11">
    <w:abstractNumId w:val="15"/>
  </w:num>
  <w:num w:numId="12">
    <w:abstractNumId w:val="11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8"/>
  </w:num>
  <w:num w:numId="24">
    <w:abstractNumId w:val="19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4A"/>
    <w:rsid w:val="00015F94"/>
    <w:rsid w:val="0013414A"/>
    <w:rsid w:val="002F4974"/>
    <w:rsid w:val="00F6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67E1"/>
  <w15:chartTrackingRefBased/>
  <w15:docId w15:val="{09841077-88EF-C44C-B012-73DBC927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414A"/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13414A"/>
    <w:pPr>
      <w:keepNext/>
      <w:keepLines/>
      <w:spacing w:before="220" w:after="210" w:line="578" w:lineRule="auto"/>
      <w:jc w:val="center"/>
      <w:outlineLvl w:val="0"/>
    </w:pPr>
    <w:rPr>
      <w:rFonts w:ascii="黑体" w:hAnsi="黑体" w:cs="宋体"/>
      <w:b/>
      <w:bC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414A"/>
    <w:pPr>
      <w:keepNext/>
      <w:keepLines/>
      <w:spacing w:before="20" w:after="20" w:line="416" w:lineRule="auto"/>
      <w:ind w:leftChars="100" w:left="1260" w:rightChars="100" w:right="100"/>
      <w:outlineLvl w:val="1"/>
    </w:pPr>
    <w:rPr>
      <w:rFonts w:ascii="黑体" w:eastAsia="黑体" w:hAnsi="黑体" w:cstheme="majorBidi"/>
      <w:b/>
      <w:bCs/>
      <w:sz w:val="21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3414A"/>
    <w:pPr>
      <w:keepNext/>
      <w:keepLines/>
      <w:spacing w:before="260" w:after="260" w:line="416" w:lineRule="auto"/>
      <w:outlineLvl w:val="2"/>
    </w:pPr>
    <w:rPr>
      <w:rFonts w:eastAsia="楷体"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41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414A"/>
    <w:rPr>
      <w:rFonts w:ascii="黑体" w:eastAsia="Times New Roman" w:hAnsi="黑体" w:cs="宋体"/>
      <w:b/>
      <w:bCs/>
      <w:kern w:val="0"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13414A"/>
    <w:rPr>
      <w:rFonts w:ascii="黑体" w:eastAsia="黑体" w:hAnsi="黑体" w:cstheme="majorBidi"/>
      <w:b/>
      <w:bCs/>
      <w:kern w:val="0"/>
      <w:szCs w:val="28"/>
    </w:rPr>
  </w:style>
  <w:style w:type="character" w:customStyle="1" w:styleId="30">
    <w:name w:val="标题 3 字符"/>
    <w:basedOn w:val="a0"/>
    <w:link w:val="3"/>
    <w:uiPriority w:val="9"/>
    <w:rsid w:val="0013414A"/>
    <w:rPr>
      <w:rFonts w:ascii="Times New Roman" w:eastAsia="楷体" w:hAnsi="Times New Roman" w:cs="Times New Roman"/>
      <w:bCs/>
      <w:kern w:val="0"/>
      <w:szCs w:val="32"/>
    </w:rPr>
  </w:style>
  <w:style w:type="character" w:customStyle="1" w:styleId="40">
    <w:name w:val="标题 4 字符"/>
    <w:basedOn w:val="a0"/>
    <w:link w:val="4"/>
    <w:uiPriority w:val="9"/>
    <w:rsid w:val="0013414A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customStyle="1" w:styleId="p2">
    <w:name w:val="p2"/>
    <w:basedOn w:val="a"/>
    <w:link w:val="p20"/>
    <w:rsid w:val="0013414A"/>
    <w:pPr>
      <w:spacing w:before="100" w:beforeAutospacing="1" w:after="100" w:afterAutospacing="1"/>
    </w:pPr>
    <w:rPr>
      <w:rFonts w:ascii="宋体" w:hAnsi="宋体" w:cs="宋体"/>
    </w:rPr>
  </w:style>
  <w:style w:type="character" w:customStyle="1" w:styleId="s2">
    <w:name w:val="s2"/>
    <w:basedOn w:val="a0"/>
    <w:rsid w:val="0013414A"/>
  </w:style>
  <w:style w:type="character" w:customStyle="1" w:styleId="s1">
    <w:name w:val="s1"/>
    <w:basedOn w:val="a0"/>
    <w:rsid w:val="0013414A"/>
  </w:style>
  <w:style w:type="character" w:customStyle="1" w:styleId="s3">
    <w:name w:val="s3"/>
    <w:basedOn w:val="a0"/>
    <w:rsid w:val="0013414A"/>
  </w:style>
  <w:style w:type="paragraph" w:customStyle="1" w:styleId="p1">
    <w:name w:val="p1"/>
    <w:basedOn w:val="a"/>
    <w:rsid w:val="0013414A"/>
    <w:pPr>
      <w:spacing w:before="100" w:beforeAutospacing="1" w:after="100" w:afterAutospacing="1"/>
    </w:pPr>
    <w:rPr>
      <w:rFonts w:ascii="宋体" w:hAnsi="宋体" w:cs="宋体"/>
    </w:rPr>
  </w:style>
  <w:style w:type="character" w:styleId="a3">
    <w:name w:val="Placeholder Text"/>
    <w:basedOn w:val="a0"/>
    <w:uiPriority w:val="99"/>
    <w:semiHidden/>
    <w:rsid w:val="0013414A"/>
    <w:rPr>
      <w:color w:val="808080"/>
    </w:rPr>
  </w:style>
  <w:style w:type="paragraph" w:styleId="a4">
    <w:name w:val="header"/>
    <w:basedOn w:val="a"/>
    <w:link w:val="a5"/>
    <w:uiPriority w:val="99"/>
    <w:unhideWhenUsed/>
    <w:rsid w:val="0013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414A"/>
    <w:rPr>
      <w:rFonts w:ascii="Times New Roman" w:eastAsia="Times New Roman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41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414A"/>
    <w:rPr>
      <w:rFonts w:ascii="Times New Roman" w:eastAsia="Times New Roman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3414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a"/>
    <w:next w:val="a"/>
    <w:autoRedefine/>
    <w:uiPriority w:val="39"/>
    <w:unhideWhenUsed/>
    <w:rsid w:val="0013414A"/>
  </w:style>
  <w:style w:type="character" w:styleId="a8">
    <w:name w:val="Hyperlink"/>
    <w:basedOn w:val="a0"/>
    <w:uiPriority w:val="99"/>
    <w:unhideWhenUsed/>
    <w:rsid w:val="0013414A"/>
    <w:rPr>
      <w:color w:val="0563C1" w:themeColor="hyperlink"/>
      <w:u w:val="single"/>
    </w:rPr>
  </w:style>
  <w:style w:type="paragraph" w:styleId="a9">
    <w:name w:val="List Paragraph"/>
    <w:basedOn w:val="a"/>
    <w:link w:val="aa"/>
    <w:uiPriority w:val="34"/>
    <w:qFormat/>
    <w:rsid w:val="0013414A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13414A"/>
    <w:pPr>
      <w:ind w:leftChars="200" w:left="420"/>
    </w:pPr>
  </w:style>
  <w:style w:type="paragraph" w:styleId="ab">
    <w:name w:val="footnote text"/>
    <w:basedOn w:val="a"/>
    <w:link w:val="ac"/>
    <w:uiPriority w:val="99"/>
    <w:semiHidden/>
    <w:unhideWhenUsed/>
    <w:rsid w:val="0013414A"/>
    <w:pPr>
      <w:snapToGrid w:val="0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13414A"/>
    <w:rPr>
      <w:rFonts w:ascii="Times New Roman" w:eastAsia="Times New Roman" w:hAnsi="Times New Roman" w:cs="Times New Roman"/>
      <w:kern w:val="0"/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13414A"/>
    <w:rPr>
      <w:vertAlign w:val="superscript"/>
    </w:rPr>
  </w:style>
  <w:style w:type="paragraph" w:styleId="ae">
    <w:name w:val="Balloon Text"/>
    <w:basedOn w:val="a"/>
    <w:link w:val="af"/>
    <w:uiPriority w:val="99"/>
    <w:semiHidden/>
    <w:unhideWhenUsed/>
    <w:rsid w:val="0013414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13414A"/>
    <w:rPr>
      <w:rFonts w:ascii="Times New Roman" w:eastAsia="Times New Roman" w:hAnsi="Times New Roman" w:cs="Times New Roman"/>
      <w:kern w:val="0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13414A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13414A"/>
  </w:style>
  <w:style w:type="character" w:customStyle="1" w:styleId="af2">
    <w:name w:val="批注文字 字符"/>
    <w:basedOn w:val="a0"/>
    <w:link w:val="af1"/>
    <w:uiPriority w:val="99"/>
    <w:semiHidden/>
    <w:rsid w:val="0013414A"/>
    <w:rPr>
      <w:rFonts w:ascii="Times New Roman" w:eastAsia="Times New Roman" w:hAnsi="Times New Roman" w:cs="Times New Roman"/>
      <w:kern w:val="0"/>
      <w:sz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3414A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13414A"/>
    <w:rPr>
      <w:rFonts w:ascii="Times New Roman" w:eastAsia="Times New Roman" w:hAnsi="Times New Roman" w:cs="Times New Roman"/>
      <w:b/>
      <w:bCs/>
      <w:kern w:val="0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13414A"/>
    <w:pPr>
      <w:spacing w:after="100" w:line="259" w:lineRule="auto"/>
      <w:ind w:left="440"/>
    </w:pPr>
    <w:rPr>
      <w:sz w:val="22"/>
    </w:rPr>
  </w:style>
  <w:style w:type="character" w:styleId="af5">
    <w:name w:val="FollowedHyperlink"/>
    <w:basedOn w:val="a0"/>
    <w:uiPriority w:val="99"/>
    <w:semiHidden/>
    <w:unhideWhenUsed/>
    <w:rsid w:val="0013414A"/>
    <w:rPr>
      <w:color w:val="954F72" w:themeColor="followedHyperlink"/>
      <w:u w:val="single"/>
    </w:rPr>
  </w:style>
  <w:style w:type="paragraph" w:styleId="af6">
    <w:name w:val="Note Heading"/>
    <w:basedOn w:val="a"/>
    <w:next w:val="a"/>
    <w:link w:val="af7"/>
    <w:uiPriority w:val="99"/>
    <w:semiHidden/>
    <w:unhideWhenUsed/>
    <w:rsid w:val="0013414A"/>
    <w:pPr>
      <w:jc w:val="center"/>
    </w:pPr>
  </w:style>
  <w:style w:type="character" w:customStyle="1" w:styleId="af7">
    <w:name w:val="注释标题 字符"/>
    <w:basedOn w:val="a0"/>
    <w:link w:val="af6"/>
    <w:uiPriority w:val="99"/>
    <w:semiHidden/>
    <w:rsid w:val="0013414A"/>
    <w:rPr>
      <w:rFonts w:ascii="Times New Roman" w:eastAsia="Times New Roman" w:hAnsi="Times New Roman" w:cs="Times New Roman"/>
      <w:kern w:val="0"/>
      <w:sz w:val="24"/>
    </w:rPr>
  </w:style>
  <w:style w:type="paragraph" w:customStyle="1" w:styleId="af8">
    <w:name w:val="脚注"/>
    <w:basedOn w:val="a9"/>
    <w:link w:val="af9"/>
    <w:qFormat/>
    <w:rsid w:val="0013414A"/>
    <w:pPr>
      <w:ind w:firstLineChars="0" w:firstLine="0"/>
    </w:pPr>
    <w:rPr>
      <w:rFonts w:ascii="宋体" w:eastAsia="宋体" w:hAnsi="宋体" w:cs="宋体"/>
      <w:sz w:val="18"/>
    </w:rPr>
  </w:style>
  <w:style w:type="character" w:customStyle="1" w:styleId="aa">
    <w:name w:val="列表段落 字符"/>
    <w:basedOn w:val="a0"/>
    <w:link w:val="a9"/>
    <w:uiPriority w:val="34"/>
    <w:rsid w:val="0013414A"/>
    <w:rPr>
      <w:rFonts w:ascii="Times New Roman" w:eastAsia="Times New Roman" w:hAnsi="Times New Roman" w:cs="Times New Roman"/>
      <w:kern w:val="0"/>
      <w:sz w:val="24"/>
    </w:rPr>
  </w:style>
  <w:style w:type="character" w:customStyle="1" w:styleId="af9">
    <w:name w:val="脚注 字符"/>
    <w:basedOn w:val="aa"/>
    <w:link w:val="af8"/>
    <w:rsid w:val="0013414A"/>
    <w:rPr>
      <w:rFonts w:ascii="宋体" w:eastAsia="宋体" w:hAnsi="宋体" w:cs="宋体"/>
      <w:kern w:val="0"/>
      <w:sz w:val="18"/>
    </w:rPr>
  </w:style>
  <w:style w:type="paragraph" w:customStyle="1" w:styleId="big">
    <w:name w:val="脚注big"/>
    <w:basedOn w:val="ab"/>
    <w:link w:val="big0"/>
    <w:qFormat/>
    <w:rsid w:val="0013414A"/>
    <w:rPr>
      <w:szCs w:val="21"/>
    </w:rPr>
  </w:style>
  <w:style w:type="paragraph" w:customStyle="1" w:styleId="MTDisplayEquation">
    <w:name w:val="MTDisplayEquation"/>
    <w:basedOn w:val="a"/>
    <w:next w:val="a"/>
    <w:link w:val="MTDisplayEquation0"/>
    <w:rsid w:val="0013414A"/>
    <w:pPr>
      <w:shd w:val="clear" w:color="auto" w:fill="FFFFFF"/>
      <w:tabs>
        <w:tab w:val="center" w:pos="4820"/>
        <w:tab w:val="right" w:pos="9640"/>
      </w:tabs>
      <w:spacing w:line="360" w:lineRule="auto"/>
      <w:ind w:firstLineChars="200" w:firstLine="480"/>
    </w:pPr>
    <w:rPr>
      <w:rFonts w:ascii="宋体" w:hAnsi="宋体" w:cs="宋体"/>
    </w:rPr>
  </w:style>
  <w:style w:type="character" w:customStyle="1" w:styleId="big0">
    <w:name w:val="脚注big 字符"/>
    <w:basedOn w:val="ac"/>
    <w:link w:val="big"/>
    <w:rsid w:val="0013414A"/>
    <w:rPr>
      <w:rFonts w:ascii="Times New Roman" w:eastAsia="Times New Roman" w:hAnsi="Times New Roman" w:cs="Times New Roman"/>
      <w:kern w:val="0"/>
      <w:sz w:val="18"/>
      <w:szCs w:val="21"/>
    </w:rPr>
  </w:style>
  <w:style w:type="character" w:customStyle="1" w:styleId="p20">
    <w:name w:val="p2 字符"/>
    <w:basedOn w:val="a0"/>
    <w:link w:val="p2"/>
    <w:rsid w:val="0013414A"/>
    <w:rPr>
      <w:rFonts w:ascii="宋体" w:eastAsia="Times New Roman" w:hAnsi="宋体" w:cs="宋体"/>
      <w:kern w:val="0"/>
      <w:sz w:val="24"/>
    </w:rPr>
  </w:style>
  <w:style w:type="character" w:customStyle="1" w:styleId="MTDisplayEquation0">
    <w:name w:val="MTDisplayEquation 字符"/>
    <w:basedOn w:val="p20"/>
    <w:link w:val="MTDisplayEquation"/>
    <w:rsid w:val="0013414A"/>
    <w:rPr>
      <w:rFonts w:ascii="宋体" w:eastAsia="Times New Roman" w:hAnsi="宋体" w:cs="宋体"/>
      <w:kern w:val="0"/>
      <w:sz w:val="24"/>
      <w:shd w:val="clear" w:color="auto" w:fill="FFFFFF"/>
    </w:rPr>
  </w:style>
  <w:style w:type="character" w:customStyle="1" w:styleId="apple-converted-space">
    <w:name w:val="apple-converted-space"/>
    <w:basedOn w:val="a0"/>
    <w:rsid w:val="0013414A"/>
  </w:style>
  <w:style w:type="paragraph" w:styleId="afa">
    <w:name w:val="Normal (Web)"/>
    <w:basedOn w:val="a"/>
    <w:uiPriority w:val="99"/>
    <w:semiHidden/>
    <w:unhideWhenUsed/>
    <w:rsid w:val="0013414A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fb">
    <w:name w:val="Unresolved Mention"/>
    <w:basedOn w:val="a0"/>
    <w:uiPriority w:val="99"/>
    <w:semiHidden/>
    <w:unhideWhenUsed/>
    <w:rsid w:val="00134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3144</Words>
  <Characters>5377</Characters>
  <Application>Microsoft Office Word</Application>
  <DocSecurity>0</DocSecurity>
  <Lines>384</Lines>
  <Paragraphs>355</Paragraphs>
  <ScaleCrop>false</ScaleCrop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健</dc:creator>
  <cp:keywords/>
  <dc:description/>
  <cp:lastModifiedBy>周 健</cp:lastModifiedBy>
  <cp:revision>1</cp:revision>
  <dcterms:created xsi:type="dcterms:W3CDTF">2019-03-25T01:42:00Z</dcterms:created>
  <dcterms:modified xsi:type="dcterms:W3CDTF">2019-03-25T01:56:00Z</dcterms:modified>
</cp:coreProperties>
</file>