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A26727" w14:textId="1239664F" w:rsidR="00F552C1" w:rsidRPr="00AD343D" w:rsidRDefault="00676BFE" w:rsidP="00AD343D">
      <w:pPr>
        <w:jc w:val="center"/>
        <w:rPr>
          <w:sz w:val="44"/>
          <w:szCs w:val="44"/>
        </w:rPr>
      </w:pPr>
      <w:r w:rsidRPr="00AD343D">
        <w:rPr>
          <w:rFonts w:eastAsia="Arial"/>
          <w:sz w:val="44"/>
          <w:szCs w:val="44"/>
          <w:u w:val="single"/>
        </w:rPr>
        <w:t>Project 2.1: Data Cleanup</w:t>
      </w:r>
      <w:r w:rsidR="00284CF9" w:rsidRPr="00AD343D">
        <w:rPr>
          <w:sz w:val="44"/>
          <w:szCs w:val="44"/>
        </w:rPr>
        <w:t xml:space="preserve"> </w:t>
      </w:r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445C41DF" w14:textId="77777777" w:rsidR="00F552C1" w:rsidRDefault="00676BFE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10DE0515" w14:textId="590CA609" w:rsidR="00F552C1" w:rsidRDefault="00676BFE" w:rsidP="00500EBE">
      <w:pPr>
        <w:pStyle w:val="Heading3"/>
      </w:pPr>
      <w:r>
        <w:t>Key Decisions:</w:t>
      </w:r>
    </w:p>
    <w:p w14:paraId="3075B532" w14:textId="77777777" w:rsidR="00F552C1" w:rsidRPr="00500EBE" w:rsidRDefault="00676BFE">
      <w:pPr>
        <w:numPr>
          <w:ilvl w:val="0"/>
          <w:numId w:val="1"/>
        </w:numPr>
        <w:ind w:hanging="360"/>
        <w:contextualSpacing/>
        <w:rPr>
          <w:b/>
          <w:bCs/>
        </w:rPr>
      </w:pPr>
      <w:r w:rsidRPr="00500EBE">
        <w:rPr>
          <w:rFonts w:eastAsia="Arial"/>
          <w:b/>
          <w:bCs/>
        </w:rPr>
        <w:t>What decisions needs to be made?</w:t>
      </w:r>
    </w:p>
    <w:p w14:paraId="2EB50C57" w14:textId="4B8DACB2" w:rsidR="00F552C1" w:rsidRDefault="000E60FB" w:rsidP="000E60FB">
      <w:pPr>
        <w:ind w:left="72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pet</w:t>
      </w:r>
      <w:r>
        <w:t xml:space="preserve"> store named pawdacity from Wyoming need to find out where to open the 14</w:t>
      </w:r>
      <w:r w:rsidRPr="000E60FB">
        <w:rPr>
          <w:vertAlign w:val="superscript"/>
        </w:rPr>
        <w:t>th</w:t>
      </w:r>
      <w:r>
        <w:t xml:space="preserve"> store in the state.  </w:t>
      </w:r>
    </w:p>
    <w:p w14:paraId="72A742E3" w14:textId="38E19344" w:rsidR="00F552C1" w:rsidRPr="00500EBE" w:rsidRDefault="00676BFE">
      <w:pPr>
        <w:numPr>
          <w:ilvl w:val="0"/>
          <w:numId w:val="1"/>
        </w:numPr>
        <w:ind w:hanging="360"/>
        <w:contextualSpacing/>
        <w:rPr>
          <w:b/>
          <w:bCs/>
        </w:rPr>
      </w:pPr>
      <w:r w:rsidRPr="00500EBE">
        <w:rPr>
          <w:rFonts w:eastAsia="Arial"/>
          <w:b/>
          <w:bCs/>
        </w:rPr>
        <w:t>What data is needed to inform those decisions?</w:t>
      </w:r>
    </w:p>
    <w:p w14:paraId="40DB590A" w14:textId="5692CE99" w:rsidR="00500EBE" w:rsidRPr="00500EBE" w:rsidRDefault="00500EBE" w:rsidP="00500EBE">
      <w:pPr>
        <w:ind w:left="720"/>
        <w:contextualSpacing/>
        <w:rPr>
          <w:rFonts w:hint="eastAsia"/>
        </w:rPr>
      </w:pPr>
      <w:r>
        <w:rPr>
          <w:rFonts w:hint="eastAsia"/>
        </w:rPr>
        <w:t>S</w:t>
      </w:r>
      <w:r>
        <w:t xml:space="preserve">ome data like the city population, population density, sales in other stores, competitor sales, total families, household size are needed. </w:t>
      </w:r>
    </w:p>
    <w:p w14:paraId="15BE0424" w14:textId="77777777" w:rsidR="00F552C1" w:rsidRDefault="00676BFE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14:paraId="35B18E5A" w14:textId="77777777" w:rsidR="00F552C1" w:rsidRDefault="00676BFE">
      <w:pPr>
        <w:rPr>
          <w:i/>
          <w:sz w:val="20"/>
          <w:szCs w:val="20"/>
        </w:rPr>
      </w:pPr>
      <w:r>
        <w:rPr>
          <w:rFonts w:eastAsia="Arial"/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77AEF227" w14:textId="77777777" w:rsidR="00F552C1" w:rsidRDefault="00F552C1">
      <w:pPr>
        <w:rPr>
          <w:i/>
          <w:sz w:val="20"/>
          <w:szCs w:val="20"/>
        </w:rPr>
      </w:pPr>
    </w:p>
    <w:p w14:paraId="0D8CABBF" w14:textId="77777777" w:rsidR="00F552C1" w:rsidRDefault="00676BFE">
      <w:pPr>
        <w:rPr>
          <w:i/>
          <w:sz w:val="20"/>
          <w:szCs w:val="20"/>
        </w:rPr>
      </w:pPr>
      <w:r>
        <w:rPr>
          <w:rFonts w:eastAsia="Arial"/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14:paraId="68A56F50" w14:textId="77777777" w:rsidR="00F552C1" w:rsidRDefault="00F552C1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F552C1" w14:paraId="20F99494" w14:textId="77777777">
        <w:tc>
          <w:tcPr>
            <w:tcW w:w="2718" w:type="dxa"/>
          </w:tcPr>
          <w:p w14:paraId="2DAC415B" w14:textId="77777777" w:rsidR="00F552C1" w:rsidRDefault="00676BFE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14:paraId="44540C1C" w14:textId="77777777" w:rsidR="00F552C1" w:rsidRDefault="00676BFE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14:paraId="67617605" w14:textId="77777777" w:rsidR="00F552C1" w:rsidRDefault="00676BFE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sz w:val="20"/>
                <w:szCs w:val="20"/>
              </w:rPr>
              <w:t>Average</w:t>
            </w:r>
          </w:p>
        </w:tc>
      </w:tr>
      <w:tr w:rsidR="00F552C1" w14:paraId="72A85349" w14:textId="77777777">
        <w:tc>
          <w:tcPr>
            <w:tcW w:w="2718" w:type="dxa"/>
          </w:tcPr>
          <w:p w14:paraId="21C5C7C9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14:paraId="3B8E3194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14:paraId="5910C026" w14:textId="2692A562" w:rsidR="00F552C1" w:rsidRDefault="00B464B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1</w:t>
            </w:r>
            <w:r>
              <w:rPr>
                <w:i/>
                <w:sz w:val="20"/>
                <w:szCs w:val="20"/>
              </w:rPr>
              <w:t>9442</w:t>
            </w:r>
          </w:p>
        </w:tc>
      </w:tr>
      <w:tr w:rsidR="00F552C1" w14:paraId="555F430B" w14:textId="77777777">
        <w:tc>
          <w:tcPr>
            <w:tcW w:w="2718" w:type="dxa"/>
          </w:tcPr>
          <w:p w14:paraId="3E8FFD6C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Total Pawdacity Sales</w:t>
            </w:r>
          </w:p>
        </w:tc>
        <w:tc>
          <w:tcPr>
            <w:tcW w:w="1170" w:type="dxa"/>
          </w:tcPr>
          <w:p w14:paraId="34F9F346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14:paraId="73F69281" w14:textId="0833AF48" w:rsidR="00F552C1" w:rsidRDefault="000E60F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color w:val="252D39"/>
                <w:sz w:val="20"/>
                <w:szCs w:val="20"/>
                <w:shd w:val="clear" w:color="auto" w:fill="F7FAFF"/>
              </w:rPr>
              <w:t>343027.6</w:t>
            </w:r>
            <w:r>
              <w:rPr>
                <w:rFonts w:ascii="Segoe UI" w:hAnsi="Segoe UI" w:cs="Segoe UI" w:hint="eastAsia"/>
                <w:color w:val="252D39"/>
                <w:sz w:val="20"/>
                <w:szCs w:val="20"/>
                <w:shd w:val="clear" w:color="auto" w:fill="F7FAFF"/>
              </w:rPr>
              <w:t>4</w:t>
            </w:r>
          </w:p>
        </w:tc>
      </w:tr>
      <w:tr w:rsidR="00F552C1" w14:paraId="09626EDB" w14:textId="77777777">
        <w:tc>
          <w:tcPr>
            <w:tcW w:w="2718" w:type="dxa"/>
          </w:tcPr>
          <w:p w14:paraId="429BD14A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14:paraId="6EB8EAFB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14:paraId="471B9CFD" w14:textId="52E086D9" w:rsidR="00F552C1" w:rsidRDefault="00B464B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>096.73</w:t>
            </w:r>
          </w:p>
        </w:tc>
      </w:tr>
      <w:tr w:rsidR="00F552C1" w14:paraId="6D1DB204" w14:textId="77777777">
        <w:tc>
          <w:tcPr>
            <w:tcW w:w="2718" w:type="dxa"/>
          </w:tcPr>
          <w:p w14:paraId="20436BFA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14:paraId="559213EF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14:paraId="6013A7EA" w14:textId="4E80657D" w:rsidR="00F552C1" w:rsidRDefault="00B464B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>006.49</w:t>
            </w:r>
          </w:p>
        </w:tc>
      </w:tr>
      <w:tr w:rsidR="00F552C1" w14:paraId="352F1A62" w14:textId="77777777">
        <w:tc>
          <w:tcPr>
            <w:tcW w:w="2718" w:type="dxa"/>
          </w:tcPr>
          <w:p w14:paraId="274346E1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14:paraId="5B02F04A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14:paraId="1AC93CD3" w14:textId="09DDC459" w:rsidR="00F552C1" w:rsidRDefault="00B464B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5</w:t>
            </w:r>
            <w:r>
              <w:rPr>
                <w:i/>
                <w:sz w:val="20"/>
                <w:szCs w:val="20"/>
              </w:rPr>
              <w:t>.71</w:t>
            </w:r>
          </w:p>
        </w:tc>
      </w:tr>
      <w:tr w:rsidR="00F552C1" w14:paraId="2223FE23" w14:textId="77777777">
        <w:tc>
          <w:tcPr>
            <w:tcW w:w="2718" w:type="dxa"/>
          </w:tcPr>
          <w:p w14:paraId="6B13F020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14:paraId="76EFE33F" w14:textId="77777777" w:rsidR="00F552C1" w:rsidRDefault="00676BFE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eastAsia="Arial"/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14:paraId="6BEDF02E" w14:textId="1E476ADB" w:rsidR="00F552C1" w:rsidRDefault="00B464B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5</w:t>
            </w:r>
            <w:r>
              <w:rPr>
                <w:i/>
                <w:sz w:val="20"/>
                <w:szCs w:val="20"/>
              </w:rPr>
              <w:t>695.71</w:t>
            </w:r>
          </w:p>
        </w:tc>
      </w:tr>
    </w:tbl>
    <w:p w14:paraId="59D94E12" w14:textId="77777777" w:rsidR="00F552C1" w:rsidRDefault="00F552C1">
      <w:pPr>
        <w:rPr>
          <w:i/>
          <w:sz w:val="20"/>
          <w:szCs w:val="20"/>
        </w:rPr>
      </w:pPr>
    </w:p>
    <w:p w14:paraId="0094DBB7" w14:textId="77777777" w:rsidR="00F552C1" w:rsidRDefault="00676BFE">
      <w:pPr>
        <w:pStyle w:val="Heading2"/>
        <w:keepNext w:val="0"/>
        <w:keepLines w:val="0"/>
        <w:spacing w:before="240" w:after="40"/>
      </w:pPr>
      <w:r>
        <w:t>Step 3: Dealing with Outliers</w:t>
      </w:r>
    </w:p>
    <w:p w14:paraId="2AC017C5" w14:textId="77777777" w:rsidR="00F552C1" w:rsidRDefault="00F552C1">
      <w:pPr>
        <w:rPr>
          <w:i/>
          <w:sz w:val="20"/>
          <w:szCs w:val="20"/>
        </w:rPr>
      </w:pPr>
    </w:p>
    <w:p w14:paraId="265C98EA" w14:textId="70606BB5" w:rsidR="00F552C1" w:rsidRDefault="00676BFE">
      <w:pPr>
        <w:rPr>
          <w:rFonts w:eastAsia="Arial"/>
        </w:rPr>
      </w:pPr>
      <w:r>
        <w:rPr>
          <w:rFonts w:eastAsia="Arial"/>
        </w:rPr>
        <w:t xml:space="preserve">Are there any cities that are outliers in the training set? Which outlier have you chosen to remove or impute? Because this dataset is a small data set (11 cities), </w:t>
      </w:r>
      <w:r>
        <w:rPr>
          <w:rFonts w:eastAsia="Arial"/>
          <w:b/>
        </w:rPr>
        <w:t>you should only remove or impute one outlier</w:t>
      </w:r>
      <w:r>
        <w:rPr>
          <w:rFonts w:eastAsia="Arial"/>
        </w:rPr>
        <w:t>. Please explain your reasoning.</w:t>
      </w:r>
    </w:p>
    <w:p w14:paraId="3E10F7C3" w14:textId="2BFDDB2B" w:rsidR="00284CF9" w:rsidRDefault="00284CF9"/>
    <w:p w14:paraId="44CDC69B" w14:textId="3EBC1543" w:rsidR="00284CF9" w:rsidRPr="00284CF9" w:rsidRDefault="00284CF9">
      <w:pPr>
        <w:rPr>
          <w:rFonts w:hint="eastAsia"/>
        </w:rPr>
      </w:pPr>
      <w:r>
        <w:rPr>
          <w:rFonts w:hint="eastAsia"/>
        </w:rPr>
        <w:t>S</w:t>
      </w:r>
      <w:r>
        <w:t>ee the 5 scatter plots along with box plots of variables below.</w:t>
      </w:r>
      <w:r w:rsidR="00F1058A">
        <w:t xml:space="preserve"> In boxplot of total </w:t>
      </w:r>
      <w:r w:rsidR="00AD343D">
        <w:t>sales,</w:t>
      </w:r>
      <w:r w:rsidR="00F1058A">
        <w:t xml:space="preserve"> we saw two data points are outliers. Then</w:t>
      </w:r>
      <w:r>
        <w:t xml:space="preserve"> </w:t>
      </w:r>
      <w:r w:rsidR="00F1058A">
        <w:t>f</w:t>
      </w:r>
      <w:r>
        <w:t>rom Land_area vs total sales plot, we can see that two cit</w:t>
      </w:r>
      <w:r w:rsidR="00F1058A">
        <w:t>ies</w:t>
      </w:r>
      <w:r>
        <w:t xml:space="preserve"> with area 1500 and </w:t>
      </w:r>
      <w:r w:rsidR="00F1058A">
        <w:t xml:space="preserve">2600, these two cities sales are more deviate </w:t>
      </w:r>
      <w:r w:rsidR="00210757">
        <w:t>above</w:t>
      </w:r>
      <w:r w:rsidR="00F1058A">
        <w:t xml:space="preserve"> </w:t>
      </w:r>
      <w:r w:rsidR="00210757">
        <w:t>expected range</w:t>
      </w:r>
      <w:r w:rsidR="00F1058A">
        <w:t xml:space="preserve">, </w:t>
      </w:r>
      <w:r w:rsidR="00210757">
        <w:t xml:space="preserve">i.e. </w:t>
      </w:r>
      <w:r w:rsidR="00F1058A">
        <w:t xml:space="preserve">much higher sales for relatively small land area. These two cities are Gillette and Cheyenne. </w:t>
      </w:r>
      <w:r w:rsidR="00F1058A">
        <w:rPr>
          <w:rFonts w:hint="eastAsia"/>
        </w:rPr>
        <w:t>When</w:t>
      </w:r>
      <w:r w:rsidR="00F1058A">
        <w:t xml:space="preserve"> plot total sales versus other remaining variables, </w:t>
      </w:r>
      <w:r w:rsidR="00210757">
        <w:t xml:space="preserve">we see that only one city is beyond expected range for variable 2010_census data, population density and total families. This city is Gillette. </w:t>
      </w:r>
      <w:r w:rsidR="00210757">
        <w:rPr>
          <w:rFonts w:hint="eastAsia"/>
        </w:rPr>
        <w:t>T</w:t>
      </w:r>
      <w:r w:rsidR="00210757">
        <w:t>he city of Gillette is only correlated for household</w:t>
      </w:r>
      <w:r w:rsidR="00210757">
        <w:rPr>
          <w:rFonts w:hint="eastAsia"/>
        </w:rPr>
        <w:t>s_</w:t>
      </w:r>
      <w:r w:rsidR="00210757">
        <w:t>with_under_18, therefore it make</w:t>
      </w:r>
      <w:r w:rsidR="00AD343D">
        <w:t>s</w:t>
      </w:r>
      <w:r w:rsidR="00210757">
        <w:t xml:space="preserve"> sense for us to remove city Gillette as a</w:t>
      </w:r>
      <w:r w:rsidR="00AD343D">
        <w:t>n</w:t>
      </w:r>
      <w:r w:rsidR="00210757">
        <w:t xml:space="preserve"> outlier. </w:t>
      </w:r>
    </w:p>
    <w:p w14:paraId="49631343" w14:textId="415B268B" w:rsidR="00F552C1" w:rsidRDefault="00284CF9" w:rsidP="00F1058A">
      <w:r>
        <w:rPr>
          <w:noProof/>
        </w:rPr>
        <w:lastRenderedPageBreak/>
        <w:drawing>
          <wp:inline distT="0" distB="0" distL="0" distR="0" wp14:anchorId="42181443" wp14:editId="2A934A93">
            <wp:extent cx="2762250" cy="27047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88" cy="27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26810" wp14:editId="5C78C43D">
            <wp:extent cx="2639448" cy="2619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918" cy="27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746" w14:textId="200D5298" w:rsidR="00284CF9" w:rsidRDefault="00284CF9">
      <w:r>
        <w:rPr>
          <w:noProof/>
        </w:rPr>
        <w:drawing>
          <wp:inline distT="0" distB="0" distL="0" distR="0" wp14:anchorId="59D904F9" wp14:editId="469A1F06">
            <wp:extent cx="2808519" cy="27238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240" cy="27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82A48" wp14:editId="581D75B1">
            <wp:extent cx="2671294" cy="2580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910" cy="26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36A" w14:textId="7EFD60E4" w:rsidR="00284CF9" w:rsidRDefault="00284CF9">
      <w:r>
        <w:rPr>
          <w:noProof/>
        </w:rPr>
        <w:drawing>
          <wp:inline distT="0" distB="0" distL="0" distR="0" wp14:anchorId="5CCC78F4" wp14:editId="1908598E">
            <wp:extent cx="2463849" cy="2390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4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0BB4" w14:textId="5E19D588" w:rsidR="00093C6A" w:rsidRDefault="00093C6A">
      <w:r>
        <w:rPr>
          <w:rFonts w:hint="eastAsia"/>
        </w:rPr>
        <w:t>I</w:t>
      </w:r>
      <w:r>
        <w:t xml:space="preserve"> also attach workflow:</w:t>
      </w:r>
    </w:p>
    <w:p w14:paraId="2021B56C" w14:textId="6BD7E31B" w:rsidR="00093C6A" w:rsidRDefault="00093C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30837F" wp14:editId="77411925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1614FF" w14:textId="6B2E1F79" w:rsidR="00F552C1" w:rsidRDefault="00F552C1"/>
    <w:sectPr w:rsidR="00F5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03FC6"/>
    <w:multiLevelType w:val="multilevel"/>
    <w:tmpl w:val="C0AE6B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2C1"/>
    <w:rsid w:val="00093C6A"/>
    <w:rsid w:val="000E60FB"/>
    <w:rsid w:val="00210757"/>
    <w:rsid w:val="00284CF9"/>
    <w:rsid w:val="00500EBE"/>
    <w:rsid w:val="005B37E0"/>
    <w:rsid w:val="00676BFE"/>
    <w:rsid w:val="00AD343D"/>
    <w:rsid w:val="00B464B7"/>
    <w:rsid w:val="00E15A85"/>
    <w:rsid w:val="00F1058A"/>
    <w:rsid w:val="00F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F3FB"/>
  <w15:docId w15:val="{0C020EA0-941B-452E-A2BE-43618E06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eastAsia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zhenyue zhu</cp:lastModifiedBy>
  <cp:revision>6</cp:revision>
  <cp:lastPrinted>2020-04-23T06:12:00Z</cp:lastPrinted>
  <dcterms:created xsi:type="dcterms:W3CDTF">2020-04-22T07:50:00Z</dcterms:created>
  <dcterms:modified xsi:type="dcterms:W3CDTF">2020-04-23T06:14:00Z</dcterms:modified>
</cp:coreProperties>
</file>