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8B7CD">
      <w:pPr>
        <w:pStyle w:val="4"/>
        <w:keepNext w:val="0"/>
        <w:keepLines w:val="0"/>
        <w:widowControl/>
        <w:suppressLineNumbers w:val="0"/>
      </w:pPr>
      <w:r>
        <w:t xml:space="preserve">采用 </w:t>
      </w:r>
      <w:r>
        <w:rPr>
          <w:rStyle w:val="7"/>
        </w:rPr>
        <w:t>A + 折中方案</w:t>
      </w:r>
      <w:r>
        <w:t>：</w:t>
      </w:r>
    </w:p>
    <w:p w14:paraId="723CB5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采购 </w:t>
      </w:r>
      <w:r>
        <w:rPr>
          <w:rStyle w:val="8"/>
        </w:rPr>
        <w:t>2015—2024</w:t>
      </w:r>
      <w:r>
        <w:t xml:space="preserve"> 年报共 10 份；</w:t>
      </w:r>
    </w:p>
    <w:p w14:paraId="5427EA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主正常化窗口为 </w:t>
      </w:r>
      <w:r>
        <w:rPr>
          <w:rStyle w:val="8"/>
        </w:rPr>
        <w:t>2017—2024</w:t>
      </w:r>
      <w:r>
        <w:t xml:space="preserve"> 这 8 个完整年度；</w:t>
      </w:r>
    </w:p>
    <w:p w14:paraId="57589B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2015—2024</w:t>
      </w:r>
      <w:r>
        <w:t xml:space="preserve"> 作为 10 年回退窗口；</w:t>
      </w:r>
    </w:p>
    <w:p w14:paraId="5B071C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10 年历史年报只解析：营业收入、利润总额、利息费用、利息收入及重大调整；</w:t>
      </w:r>
    </w:p>
    <w:p w14:paraId="027D2B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最近 3 年再做 74 项字段、三表、MD&amp;A、减值和非经常性损益精细解析。</w:t>
      </w:r>
    </w:p>
    <w:p w14:paraId="13BAA6EE">
      <w:pPr>
        <w:pStyle w:val="2"/>
        <w:keepNext w:val="0"/>
        <w:keepLines w:val="0"/>
        <w:widowControl/>
        <w:suppressLineNumbers w:val="0"/>
      </w:pPr>
      <w:r>
        <w:t>1. EBIT 算法口径</w:t>
      </w:r>
    </w:p>
    <w:p w14:paraId="2A2BB69E">
      <w:pPr>
        <w:pStyle w:val="4"/>
        <w:keepNext w:val="0"/>
        <w:keepLines w:val="0"/>
        <w:widowControl/>
        <w:suppressLineNumbers w:val="0"/>
      </w:pPr>
      <w:r>
        <w:t>采用“</w:t>
      </w:r>
      <w:r>
        <w:rPr>
          <w:rStyle w:val="7"/>
        </w:rPr>
        <w:t>调整后经营 EBIT</w:t>
      </w:r>
      <w:r>
        <w:t>”作为最终估值口径。</w:t>
      </w:r>
    </w:p>
    <w:p w14:paraId="6721F9B2">
      <w:pPr>
        <w:pStyle w:val="4"/>
        <w:keepNext w:val="0"/>
        <w:keepLines w:val="0"/>
        <w:widowControl/>
        <w:suppressLineNumbers w:val="0"/>
      </w:pPr>
      <w:r>
        <w:t>历史轻解析阶段使用：</w:t>
      </w:r>
    </w:p>
    <w:p w14:paraId="14065931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Reported EBIT</w:t>
      </w:r>
    </w:p>
    <w:p w14:paraId="2DB417F7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= 利润总额 + 利息费用 - 利息收入</w:t>
      </w:r>
    </w:p>
    <w:p w14:paraId="45B44F15">
      <w:pPr>
        <w:pStyle w:val="4"/>
        <w:keepNext w:val="0"/>
        <w:keepLines w:val="0"/>
        <w:widowControl/>
        <w:suppressLineNumbers w:val="0"/>
      </w:pPr>
      <w:r>
        <w:t>若年报披露完整，再用以下公式交叉核对：</w:t>
      </w:r>
    </w:p>
    <w:p w14:paraId="4FBC53D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Cross-check EBIT</w:t>
      </w:r>
    </w:p>
    <w:p w14:paraId="1F2DA652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= 营业利润 + 财务费用</w:t>
      </w:r>
    </w:p>
    <w:p w14:paraId="7E213199">
      <w:pPr>
        <w:pStyle w:val="4"/>
        <w:keepNext w:val="0"/>
        <w:keepLines w:val="0"/>
        <w:widowControl/>
        <w:suppressLineNumbers w:val="0"/>
      </w:pPr>
      <w:r>
        <w:t>最终正常化使用：</w:t>
      </w:r>
    </w:p>
    <w:p w14:paraId="444998C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Adjusted EBIT</w:t>
      </w:r>
    </w:p>
    <w:p w14:paraId="30DB2460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= Reported EBIT</w:t>
      </w:r>
    </w:p>
    <w:p w14:paraId="6912A52A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- 非核心收益</w:t>
      </w:r>
    </w:p>
    <w:p w14:paraId="4446D33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+ 非核心损失</w:t>
      </w:r>
    </w:p>
    <w:p w14:paraId="0086D5B7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+ 经批准加回的一次性费用</w:t>
      </w:r>
    </w:p>
    <w:p w14:paraId="6C0FAE5B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- 经批准剔除的一次性收益</w:t>
      </w:r>
    </w:p>
    <w:p w14:paraId="382DFCE5">
      <w:pPr>
        <w:pStyle w:val="4"/>
        <w:keepNext w:val="0"/>
        <w:keepLines w:val="0"/>
        <w:widowControl/>
        <w:suppressLineNumbers w:val="0"/>
      </w:pPr>
      <w:r>
        <w:t>处理原则：</w:t>
      </w:r>
    </w:p>
    <w:p w14:paraId="06B886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非经营性投资收益、非主营公允价值收益：通常剔除；</w:t>
      </w:r>
    </w:p>
    <w:p w14:paraId="1B8BC6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与主营业务高度相关且持续发生的联营/合营收益：可保留，但需单独标记；</w:t>
      </w:r>
    </w:p>
    <w:p w14:paraId="487A47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政府补助：一次性补助剔除，持续性经营补贴可保留；</w:t>
      </w:r>
    </w:p>
    <w:p w14:paraId="542613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套期保值：为原材料或产品风险管理且持续发生的，保留；投机性或一次性交易，剔除；</w:t>
      </w:r>
    </w:p>
    <w:p w14:paraId="33D083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营业利润和“利润总额 + 净利息”差异超过 5% 时，进入 </w:t>
      </w:r>
      <w:r>
        <w:rPr>
          <w:rStyle w:val="8"/>
        </w:rPr>
        <w:t>needs_review</w:t>
      </w:r>
      <w:r>
        <w:t>。</w:t>
      </w:r>
    </w:p>
    <w:p w14:paraId="456AE448">
      <w:pPr>
        <w:pStyle w:val="2"/>
        <w:keepNext w:val="0"/>
        <w:keepLines w:val="0"/>
        <w:widowControl/>
        <w:suppressLineNumbers w:val="0"/>
      </w:pPr>
      <w:r>
        <w:t>2. 是否剔除资产减值</w:t>
      </w:r>
    </w:p>
    <w:p w14:paraId="4D30073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不机械剔除。</w:t>
      </w:r>
    </w:p>
    <w:p w14:paraId="535E07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如果减值反映产能过剩、资产竞争力下降或长期盈利恶化，不加回；</w:t>
      </w:r>
    </w:p>
    <w:p w14:paraId="2780D1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如果有充分证据证明是一次性、非重复且不代表持续经营能力下降，可以加回；</w:t>
      </w:r>
    </w:p>
    <w:p w14:paraId="16DB78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主模型同时保存：</w:t>
      </w:r>
    </w:p>
    <w:p w14:paraId="5A87583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报告 EBIT；</w:t>
      </w:r>
    </w:p>
    <w:p w14:paraId="7F7674C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调整后 EBIT；</w:t>
      </w:r>
    </w:p>
    <w:p w14:paraId="2F45587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调整理由和来源。</w:t>
      </w:r>
    </w:p>
    <w:p w14:paraId="5BD1E5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会计同学未确认前，DCF 使用报告 EBIT，并将调整后结果作为敏感性分析；</w:t>
      </w:r>
    </w:p>
    <w:p w14:paraId="271619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会计确认后，主 DCF 才切换到调整后 EBIT。</w:t>
      </w:r>
    </w:p>
    <w:p w14:paraId="3DD4B19A">
      <w:pPr>
        <w:pStyle w:val="4"/>
        <w:keepNext w:val="0"/>
        <w:keepLines w:val="0"/>
        <w:widowControl/>
        <w:suppressLineNumbers w:val="0"/>
      </w:pPr>
      <w:r>
        <w:t>这比简单剔除 2023—2024 年大额减值更容易被金融评委接受。</w:t>
      </w:r>
    </w:p>
    <w:p w14:paraId="315613D2">
      <w:pPr>
        <w:pStyle w:val="2"/>
        <w:keepNext w:val="0"/>
        <w:keepLines w:val="0"/>
        <w:widowControl/>
        <w:suppressLineNumbers w:val="0"/>
      </w:pPr>
      <w:r>
        <w:t>3. 特殊年份如何处理</w:t>
      </w:r>
    </w:p>
    <w:p w14:paraId="29F17ABF">
      <w:pPr>
        <w:pStyle w:val="4"/>
        <w:keepNext w:val="0"/>
        <w:keepLines w:val="0"/>
        <w:widowControl/>
        <w:suppressLineNumbers w:val="0"/>
      </w:pPr>
      <w:r>
        <w:t>不自动删除，分三步：</w:t>
      </w:r>
    </w:p>
    <w:p w14:paraId="0C0E8A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先标记为 </w:t>
      </w:r>
      <w:r>
        <w:rPr>
          <w:rStyle w:val="8"/>
        </w:rPr>
        <w:t>non_comparable</w:t>
      </w:r>
      <w:r>
        <w:t>；</w:t>
      </w:r>
    </w:p>
    <w:p w14:paraId="02FCCA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由会计同学判断是否存在重大重组、资产注入、合并范围变化、前期重述或会计政策变更；</w:t>
      </w:r>
    </w:p>
    <w:p w14:paraId="022775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确认不可比后，从主中枢计算中排除，但在敏感性分析中保留。</w:t>
      </w:r>
    </w:p>
    <w:p w14:paraId="37818DAE">
      <w:pPr>
        <w:pStyle w:val="4"/>
        <w:keepNext w:val="0"/>
        <w:keepLines w:val="0"/>
        <w:widowControl/>
        <w:suppressLineNumbers w:val="0"/>
      </w:pPr>
      <w:r>
        <w:t>最低要求：</w:t>
      </w:r>
    </w:p>
    <w:p w14:paraId="283AA4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8 年窗口至少保留 7 个可比年度；</w:t>
      </w:r>
    </w:p>
    <w:p w14:paraId="3AA519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少于 7 个时，自动切换至 10 年窗口；</w:t>
      </w:r>
    </w:p>
    <w:p w14:paraId="253F5B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10 年仍不足 8 个可比年度，则不输出单一正常化估值，返回：</w:t>
      </w:r>
    </w:p>
    <w:p w14:paraId="26F5759D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NORMALIZATION_INSUFFICIENT_DATA</w:t>
      </w:r>
    </w:p>
    <w:p w14:paraId="7EB1E90C">
      <w:pPr>
        <w:pStyle w:val="2"/>
        <w:keepNext w:val="0"/>
        <w:keepLines w:val="0"/>
        <w:widowControl/>
        <w:suppressLineNumbers w:val="0"/>
      </w:pPr>
      <w:r>
        <w:t>4. 窗口起点</w:t>
      </w:r>
    </w:p>
    <w:p w14:paraId="66E18D52">
      <w:pPr>
        <w:pStyle w:val="4"/>
        <w:keepNext w:val="0"/>
        <w:keepLines w:val="0"/>
        <w:widowControl/>
        <w:suppressLineNumbers w:val="0"/>
      </w:pPr>
      <w:r>
        <w:t>当前比赛数据以 2024 年为最新完整年度，因此采用：</w:t>
      </w:r>
    </w:p>
    <w:p w14:paraId="38A3548E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主窗口：2017—2024</w:t>
      </w:r>
    </w:p>
    <w:p w14:paraId="6D377959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回退窗口：2015—2024</w:t>
      </w:r>
    </w:p>
    <w:p w14:paraId="16EC3C30">
      <w:pPr>
        <w:pStyle w:val="4"/>
        <w:keepNext w:val="0"/>
        <w:keepLines w:val="0"/>
        <w:widowControl/>
        <w:suppressLineNumbers w:val="0"/>
      </w:pPr>
      <w:r>
        <w:t>不采用 2016—2023，因为它没有使用最新完整年度，容易被质疑为人为选择窗口。</w:t>
      </w:r>
    </w:p>
    <w:p w14:paraId="385B2604">
      <w:pPr>
        <w:pStyle w:val="4"/>
        <w:keepNext w:val="0"/>
        <w:keepLines w:val="0"/>
        <w:widowControl/>
        <w:suppressLineNumbers w:val="0"/>
      </w:pPr>
      <w:r>
        <w:t>如果以后加入 2025 年完整年报，则滚动为：</w:t>
      </w:r>
    </w:p>
    <w:p w14:paraId="42DD880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主窗口：2018—2025</w:t>
      </w:r>
    </w:p>
    <w:p w14:paraId="40942754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回退窗口：2016—2025</w:t>
      </w:r>
    </w:p>
    <w:p w14:paraId="5C45CE0D">
      <w:pPr>
        <w:pStyle w:val="2"/>
        <w:keepNext w:val="0"/>
        <w:keepLines w:val="0"/>
        <w:widowControl/>
        <w:suppressLineNumbers w:val="0"/>
      </w:pPr>
      <w:r>
        <w:t>5. 吨钢毛利口径</w:t>
      </w:r>
    </w:p>
    <w:p w14:paraId="1A87C53C">
      <w:pPr>
        <w:pStyle w:val="4"/>
        <w:keepNext w:val="0"/>
        <w:keepLines w:val="0"/>
        <w:widowControl/>
        <w:suppressLineNumbers w:val="0"/>
      </w:pPr>
      <w:r>
        <w:t>吨钢毛利只作为交叉验证，不作为 DCF 主中枢。</w:t>
      </w:r>
    </w:p>
    <w:p w14:paraId="091D0850">
      <w:pPr>
        <w:pStyle w:val="4"/>
        <w:keepNext w:val="0"/>
        <w:keepLines w:val="0"/>
        <w:widowControl/>
        <w:suppressLineNumbers w:val="0"/>
      </w:pPr>
      <w:r>
        <w:t>优先级：</w:t>
      </w:r>
    </w:p>
    <w:p w14:paraId="270EE3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直接采用公司年报披露的吨钢毛利或吨钢 EBITDA；</w:t>
      </w:r>
    </w:p>
    <w:p w14:paraId="59BAE9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如果自行计算，定义为：</w:t>
      </w:r>
    </w:p>
    <w:p w14:paraId="1CBED40C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吨钢毛利</w:t>
      </w:r>
    </w:p>
    <w:p w14:paraId="0BD79027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= 钢材销售收入 - 钢材销售成本</w:t>
      </w:r>
    </w:p>
    <w:p w14:paraId="74EDE7ED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 xml:space="preserve">  ÷ 钢材销售量</w:t>
      </w:r>
    </w:p>
    <w:p w14:paraId="0C8343F9">
      <w:pPr>
        <w:pStyle w:val="4"/>
        <w:keepNext w:val="0"/>
        <w:keepLines w:val="0"/>
        <w:widowControl/>
        <w:suppressLineNumbers w:val="0"/>
      </w:pPr>
      <w:r>
        <w:t>其中销售成本应包含公司披露口径下的材料、人工、制造费用和折旧，不能只减原材料成本。</w:t>
      </w:r>
    </w:p>
    <w:p w14:paraId="5EC1B96A">
      <w:pPr>
        <w:pStyle w:val="4"/>
        <w:keepNext w:val="0"/>
        <w:keepLines w:val="0"/>
        <w:widowControl/>
        <w:suppressLineNumbers w:val="0"/>
      </w:pPr>
      <w:r>
        <w:t>分母使用：</w:t>
      </w:r>
    </w:p>
    <w:p w14:paraId="0B3912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销售量</w:t>
      </w:r>
      <w:r>
        <w:t>：用于吨钢毛利；</w:t>
      </w:r>
    </w:p>
    <w:p w14:paraId="6B61AB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产量</w:t>
      </w:r>
      <w:r>
        <w:t>：用于产能利用率。</w:t>
      </w:r>
    </w:p>
    <w:p w14:paraId="14092F47">
      <w:pPr>
        <w:pStyle w:val="4"/>
        <w:keepNext w:val="0"/>
        <w:keepLines w:val="0"/>
        <w:widowControl/>
        <w:suppressLineNumbers w:val="0"/>
      </w:pPr>
      <w:r>
        <w:t>如果只能得到“钢材售价 - 原材料成本”，只能命名为“吨钢原料差价”，不能称为吨钢毛利。</w:t>
      </w:r>
    </w:p>
    <w:p w14:paraId="77C90C92">
      <w:pPr>
        <w:pStyle w:val="2"/>
        <w:keepNext w:val="0"/>
        <w:keepLines w:val="0"/>
        <w:widowControl/>
        <w:suppressLineNumbers w:val="0"/>
      </w:pPr>
      <w:r>
        <w:t>6. 产能利用率口径</w:t>
      </w:r>
    </w:p>
    <w:p w14:paraId="700228C6">
      <w:pPr>
        <w:pStyle w:val="4"/>
        <w:keepNext w:val="0"/>
        <w:keepLines w:val="0"/>
        <w:widowControl/>
        <w:suppressLineNumbers w:val="0"/>
      </w:pPr>
      <w:r>
        <w:t>采用公司披露的“</w:t>
      </w:r>
      <w:r>
        <w:rPr>
          <w:rStyle w:val="7"/>
        </w:rPr>
        <w:t>有效产能利用率</w:t>
      </w:r>
      <w:r>
        <w:t>”，不使用设计产能作为默认口径。</w:t>
      </w:r>
    </w:p>
    <w:p w14:paraId="1D62489B">
      <w:pPr>
        <w:pStyle w:val="4"/>
        <w:keepNext w:val="0"/>
        <w:keepLines w:val="0"/>
        <w:widowControl/>
        <w:suppressLineNumbers w:val="0"/>
      </w:pPr>
      <w:r>
        <w:t>行业口径保持一致：</w:t>
      </w:r>
    </w:p>
    <w:p w14:paraId="40C669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一体化钢企：粗钢产量 / 有效粗钢产能；</w:t>
      </w:r>
    </w:p>
    <w:p w14:paraId="258972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轧钢企业：钢材产量 / 有效钢材产能；</w:t>
      </w:r>
    </w:p>
    <w:p w14:paraId="0AE56D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不能混用粗钢产能和钢材产量；</w:t>
      </w:r>
    </w:p>
    <w:p w14:paraId="375A26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不同公司口径不同，必须原样保存并标注。</w:t>
      </w:r>
    </w:p>
    <w:p w14:paraId="6531B1F1">
      <w:pPr>
        <w:pStyle w:val="4"/>
        <w:keepNext w:val="0"/>
        <w:keepLines w:val="0"/>
        <w:widowControl/>
        <w:suppressLineNumbers w:val="0"/>
      </w:pPr>
      <w:r>
        <w:t>产能利用率只用于判断周期阶段和经营状态，不直接进入 DCF 公式。</w:t>
      </w:r>
    </w:p>
    <w:p w14:paraId="58F09D09">
      <w:pPr>
        <w:pStyle w:val="2"/>
        <w:keepNext w:val="0"/>
        <w:keepLines w:val="0"/>
        <w:widowControl/>
        <w:suppressLineNumbers w:val="0"/>
      </w:pPr>
      <w:r>
        <w:t>7. ROIC 口径</w:t>
      </w:r>
    </w:p>
    <w:p w14:paraId="48891E4A">
      <w:pPr>
        <w:pStyle w:val="4"/>
        <w:keepNext w:val="0"/>
        <w:keepLines w:val="0"/>
        <w:widowControl/>
        <w:suppressLineNumbers w:val="0"/>
      </w:pPr>
      <w:r>
        <w:t>采用：</w:t>
      </w:r>
    </w:p>
    <w:p w14:paraId="164C25C4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ROIC = NOPAT / 平均投入资本</w:t>
      </w:r>
    </w:p>
    <w:p w14:paraId="0F82E792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0244C523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NOPAT = 调整后 EBIT × (1 - 正常化税率)</w:t>
      </w:r>
    </w:p>
    <w:p w14:paraId="2839D5CF">
      <w:pPr>
        <w:pStyle w:val="4"/>
        <w:keepNext w:val="0"/>
        <w:keepLines w:val="0"/>
        <w:widowControl/>
        <w:suppressLineNumbers w:val="0"/>
      </w:pPr>
      <w:r>
        <w:t>主投入资本口径：</w:t>
      </w:r>
    </w:p>
    <w:p w14:paraId="433C28E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投入资本</w:t>
      </w:r>
    </w:p>
    <w:p w14:paraId="614F05DC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= 股东权益</w:t>
      </w:r>
    </w:p>
    <w:p w14:paraId="09CE0312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+ 有息负债</w:t>
      </w:r>
    </w:p>
    <w:p w14:paraId="7C81E88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+ 租赁负债</w:t>
      </w:r>
    </w:p>
    <w:p w14:paraId="6DEAA524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- 超额现金</w:t>
      </w:r>
    </w:p>
    <w:p w14:paraId="31C7C40C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- 非经营性金融投资</w:t>
      </w:r>
    </w:p>
    <w:p w14:paraId="2AF88E74">
      <w:pPr>
        <w:pStyle w:val="4"/>
        <w:keepNext w:val="0"/>
        <w:keepLines w:val="0"/>
        <w:widowControl/>
        <w:suppressLineNumbers w:val="0"/>
      </w:pPr>
      <w:r>
        <w:t>使用期初期末平均值，而不是单一时点值。</w:t>
      </w:r>
    </w:p>
    <w:p w14:paraId="35E695E5">
      <w:pPr>
        <w:pStyle w:val="4"/>
        <w:keepNext w:val="0"/>
        <w:keepLines w:val="0"/>
        <w:widowControl/>
        <w:suppressLineNumbers w:val="0"/>
      </w:pPr>
      <w:r>
        <w:t>商誉处理：</w:t>
      </w:r>
    </w:p>
    <w:p w14:paraId="515A88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主口径保留商誉，因为商誉是企业实际投入资本的一部分；</w:t>
      </w:r>
    </w:p>
    <w:p w14:paraId="07FF9A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同时提供“扣除商誉 ROIC”作为敏感性分析；</w:t>
      </w:r>
    </w:p>
    <w:p w14:paraId="6ACC7B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两种口径不得混用。</w:t>
      </w:r>
    </w:p>
    <w:p w14:paraId="1EBED1C5">
      <w:pPr>
        <w:pStyle w:val="4"/>
        <w:keepNext w:val="0"/>
        <w:keepLines w:val="0"/>
        <w:widowControl/>
        <w:suppressLineNumbers w:val="0"/>
      </w:pPr>
      <w:r>
        <w:t>ROIC 只做经营质量交叉验证，不作为正常化 EBIT 中枢。</w:t>
      </w:r>
    </w:p>
    <w:p w14:paraId="236C755D">
      <w:pPr>
        <w:pStyle w:val="2"/>
        <w:keepNext w:val="0"/>
        <w:keepLines w:val="0"/>
        <w:widowControl/>
        <w:suppressLineNumbers w:val="0"/>
      </w:pPr>
      <w:r>
        <w:t>8. 74 条字段别名表</w:t>
      </w:r>
    </w:p>
    <w:p w14:paraId="38477243">
      <w:pPr>
        <w:pStyle w:val="4"/>
        <w:keepNext w:val="0"/>
        <w:keepLines w:val="0"/>
        <w:widowControl/>
        <w:suppressLineNumbers w:val="0"/>
      </w:pPr>
      <w:r>
        <w:t>必须由会计/金融同学逐条审校，尤其是：</w:t>
      </w:r>
    </w:p>
    <w:p w14:paraId="522B14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营业收入、营业总收入、主营业务收入；</w:t>
      </w:r>
    </w:p>
    <w:p w14:paraId="7EF1A5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营业成本、营业总成本、主营业务成本；</w:t>
      </w:r>
    </w:p>
    <w:p w14:paraId="703E79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营业利润、利润总额；</w:t>
      </w:r>
    </w:p>
    <w:p w14:paraId="517A4B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净利润、归母净利润、扣非净利润；</w:t>
      </w:r>
    </w:p>
    <w:p w14:paraId="72B658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财务费用、利息费用、利息收入；</w:t>
      </w:r>
    </w:p>
    <w:p w14:paraId="707246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应收账款、应收票据及应收账款；</w:t>
      </w:r>
    </w:p>
    <w:p w14:paraId="2EEF1D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存货、合同负债；</w:t>
      </w:r>
    </w:p>
    <w:p w14:paraId="47D547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商誉、资产减值损失；</w:t>
      </w:r>
    </w:p>
    <w:p w14:paraId="5868B3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经营活动产生的现金流量净额；</w:t>
      </w:r>
    </w:p>
    <w:p w14:paraId="23259B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非经常性损益。</w:t>
      </w:r>
    </w:p>
    <w:p w14:paraId="01589636">
      <w:pPr>
        <w:pStyle w:val="4"/>
        <w:keepNext w:val="0"/>
        <w:keepLines w:val="0"/>
        <w:widowControl/>
        <w:suppressLineNumbers w:val="0"/>
      </w:pPr>
      <w:r>
        <w:t>每个字段应有：</w:t>
      </w:r>
    </w:p>
    <w:p w14:paraId="7BBED49C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标准名称</w:t>
      </w:r>
    </w:p>
    <w:p w14:paraId="31969CB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PDF 行名别名</w:t>
      </w:r>
    </w:p>
    <w:p w14:paraId="1F371527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适用报表</w:t>
      </w:r>
    </w:p>
    <w:p w14:paraId="72853E3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排除词</w:t>
      </w:r>
    </w:p>
    <w:p w14:paraId="3AA6F41E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合并/母公司口径</w:t>
      </w:r>
    </w:p>
    <w:p w14:paraId="7DA9AA41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真实年报例句</w:t>
      </w:r>
    </w:p>
    <w:p w14:paraId="3BD1600B">
      <w:pPr>
        <w:pStyle w:val="4"/>
        <w:keepNext w:val="0"/>
        <w:keepLines w:val="0"/>
        <w:widowControl/>
        <w:suppressLineNumbers w:val="0"/>
      </w:pPr>
      <w:r>
        <w:t xml:space="preserve">别名映射失败时进入 </w:t>
      </w:r>
      <w:r>
        <w:rPr>
          <w:rStyle w:val="8"/>
        </w:rPr>
        <w:t>needs_review</w:t>
      </w:r>
      <w:r>
        <w:t>，不能由 LLM 自行猜测字段。</w:t>
      </w:r>
    </w:p>
    <w:p w14:paraId="3346A8F7">
      <w:pPr>
        <w:pStyle w:val="2"/>
        <w:keepNext w:val="0"/>
        <w:keepLines w:val="0"/>
        <w:widowControl/>
        <w:suppressLineNumbers w:val="0"/>
      </w:pPr>
      <w:r>
        <w:t>9. 非经常性损益范围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5235"/>
      </w:tblGrid>
      <w:tr w14:paraId="51621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54F4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D6E36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默认处理</w:t>
            </w:r>
          </w:p>
        </w:tc>
      </w:tr>
      <w:tr w14:paraId="7BF82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68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政府补助</w:t>
            </w:r>
          </w:p>
        </w:tc>
        <w:tc>
          <w:tcPr>
            <w:tcW w:w="0" w:type="auto"/>
            <w:shd w:val="clear"/>
            <w:vAlign w:val="center"/>
          </w:tcPr>
          <w:p w14:paraId="5B0DE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一次性补助剔除；持续性经营补贴可保留</w:t>
            </w:r>
          </w:p>
        </w:tc>
      </w:tr>
      <w:tr w14:paraId="272E3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E0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资产处置收益/损失</w:t>
            </w:r>
          </w:p>
        </w:tc>
        <w:tc>
          <w:tcPr>
            <w:tcW w:w="0" w:type="auto"/>
            <w:shd w:val="clear"/>
            <w:vAlign w:val="center"/>
          </w:tcPr>
          <w:p w14:paraId="55830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非日常处置剔除</w:t>
            </w:r>
          </w:p>
        </w:tc>
      </w:tr>
      <w:tr w14:paraId="483F1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B0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投资收益</w:t>
            </w:r>
          </w:p>
        </w:tc>
        <w:tc>
          <w:tcPr>
            <w:tcW w:w="0" w:type="auto"/>
            <w:shd w:val="clear"/>
            <w:vAlign w:val="center"/>
          </w:tcPr>
          <w:p w14:paraId="0FDF7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非主营投资收益剔除；核心联营业务可保留</w:t>
            </w:r>
          </w:p>
        </w:tc>
      </w:tr>
      <w:tr w14:paraId="2D8CF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72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公允价值变动</w:t>
            </w:r>
          </w:p>
        </w:tc>
        <w:tc>
          <w:tcPr>
            <w:tcW w:w="0" w:type="auto"/>
            <w:shd w:val="clear"/>
            <w:vAlign w:val="center"/>
          </w:tcPr>
          <w:p w14:paraId="42B7F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非主营金融资产收益通常剔除</w:t>
            </w:r>
          </w:p>
        </w:tc>
      </w:tr>
      <w:tr w14:paraId="2B673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E5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套期保值</w:t>
            </w:r>
          </w:p>
        </w:tc>
        <w:tc>
          <w:tcPr>
            <w:tcW w:w="0" w:type="auto"/>
            <w:shd w:val="clear"/>
            <w:vAlign w:val="center"/>
          </w:tcPr>
          <w:p w14:paraId="60DE2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与主营原料/产品风险管理相关且持续发生的保留</w:t>
            </w:r>
          </w:p>
        </w:tc>
      </w:tr>
      <w:tr w14:paraId="4EACD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3A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资产减值</w:t>
            </w:r>
          </w:p>
        </w:tc>
        <w:tc>
          <w:tcPr>
            <w:tcW w:w="0" w:type="auto"/>
            <w:shd w:val="clear"/>
            <w:vAlign w:val="center"/>
          </w:tcPr>
          <w:p w14:paraId="48947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不机械剔除，逐年判断</w:t>
            </w:r>
          </w:p>
        </w:tc>
      </w:tr>
      <w:tr w14:paraId="01CC5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AE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重组费用</w:t>
            </w:r>
          </w:p>
        </w:tc>
        <w:tc>
          <w:tcPr>
            <w:tcW w:w="0" w:type="auto"/>
            <w:shd w:val="clear"/>
            <w:vAlign w:val="center"/>
          </w:tcPr>
          <w:p w14:paraId="1EFAB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一次性且不反映持续经营能力的可加回</w:t>
            </w:r>
          </w:p>
        </w:tc>
      </w:tr>
      <w:tr w14:paraId="77AEF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1B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关联交易影响</w:t>
            </w:r>
          </w:p>
        </w:tc>
        <w:tc>
          <w:tcPr>
            <w:tcW w:w="0" w:type="auto"/>
            <w:shd w:val="clear"/>
            <w:vAlign w:val="center"/>
          </w:tcPr>
          <w:p w14:paraId="323F2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若存在非市场化定价，进入人工复核</w:t>
            </w:r>
          </w:p>
        </w:tc>
      </w:tr>
    </w:tbl>
    <w:p w14:paraId="68B6CA02">
      <w:pPr>
        <w:pStyle w:val="4"/>
        <w:keepNext w:val="0"/>
        <w:keepLines w:val="0"/>
        <w:widowControl/>
        <w:suppressLineNumbers w:val="0"/>
      </w:pPr>
      <w:r>
        <w:t>所有调整必须保留：</w:t>
      </w:r>
    </w:p>
    <w:p w14:paraId="5D9038FA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原始项目</w:t>
      </w:r>
    </w:p>
    <w:p w14:paraId="6CEE843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调整金额</w:t>
      </w:r>
    </w:p>
    <w:p w14:paraId="795EFFF6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调整方向</w:t>
      </w:r>
    </w:p>
    <w:p w14:paraId="0F116DE4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调整理由</w:t>
      </w:r>
    </w:p>
    <w:p w14:paraId="1B69291B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来源页码</w:t>
      </w:r>
    </w:p>
    <w:p w14:paraId="3F16CEA9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复核状态</w:t>
      </w:r>
    </w:p>
    <w:p w14:paraId="766AB9A1">
      <w:pPr>
        <w:pStyle w:val="2"/>
        <w:keepNext w:val="0"/>
        <w:keepLines w:val="0"/>
        <w:widowControl/>
        <w:suppressLineNumbers w:val="0"/>
      </w:pPr>
      <w:r>
        <w:t>10. 诊断指数阈值</w:t>
      </w:r>
    </w:p>
    <w:p w14:paraId="2AE8F834">
      <w:pPr>
        <w:pStyle w:val="4"/>
        <w:keepNext w:val="0"/>
        <w:keepLines w:val="0"/>
        <w:widowControl/>
        <w:suppressLineNumbers w:val="0"/>
      </w:pPr>
      <w:r>
        <w:t>当前可先采用：</w:t>
      </w:r>
    </w:p>
    <w:p w14:paraId="7792DE1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70 以上：一致性较高</w:t>
      </w:r>
    </w:p>
    <w:p w14:paraId="41AD4EDA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45—69：中等，需关注</w:t>
      </w:r>
    </w:p>
    <w:p w14:paraId="416433C3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45 以下：一致性较低，建议人工复核</w:t>
      </w:r>
    </w:p>
    <w:p w14:paraId="31EB9140">
      <w:pPr>
        <w:pStyle w:val="4"/>
        <w:keepNext w:val="0"/>
        <w:keepLines w:val="0"/>
        <w:widowControl/>
        <w:suppressLineNumbers w:val="0"/>
      </w:pPr>
      <w:r>
        <w:t>但这只是展示分级，不应宣称具有普遍预测意义。</w:t>
      </w:r>
    </w:p>
    <w:p w14:paraId="3D7D9449">
      <w:pPr>
        <w:pStyle w:val="4"/>
        <w:keepNext w:val="0"/>
        <w:keepLines w:val="0"/>
        <w:widowControl/>
        <w:suppressLineNumbers w:val="0"/>
      </w:pPr>
      <w:r>
        <w:t>“20 个百分点”只适用于 MD&amp;A 明确提出数值目标的情况。对于“需求增长”“回款改善”等方向性表述：</w:t>
      </w:r>
    </w:p>
    <w:p w14:paraId="7DEE42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实际方向相反，直接标记为冲突；</w:t>
      </w:r>
    </w:p>
    <w:p w14:paraId="442FDF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方向一致但幅度较弱，标记为部分支持；</w:t>
      </w:r>
    </w:p>
    <w:p w14:paraId="0EDF45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数据不可比，标记为不可判断。</w:t>
      </w:r>
    </w:p>
    <w:p w14:paraId="6FECDA8C">
      <w:pPr>
        <w:pStyle w:val="2"/>
        <w:keepNext w:val="0"/>
        <w:keepLines w:val="0"/>
        <w:widowControl/>
        <w:suppressLineNumbers w:val="0"/>
      </w:pPr>
      <w:r>
        <w:t xml:space="preserve">11. 是否现在实现 </w:t>
      </w:r>
      <w:r>
        <w:rPr>
          <w:rStyle w:val="8"/>
        </w:rPr>
        <w:t>engine/normalization.py</w:t>
      </w:r>
    </w:p>
    <w:p w14:paraId="3909C3C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是，先实现。</w:t>
      </w:r>
    </w:p>
    <w:p w14:paraId="6C080EBA">
      <w:pPr>
        <w:pStyle w:val="4"/>
        <w:keepNext w:val="0"/>
        <w:keepLines w:val="0"/>
        <w:widowControl/>
        <w:suppressLineNumbers w:val="0"/>
      </w:pPr>
      <w:r>
        <w:t>它不依赖真实年报，可以先用 golden case 验证：</w:t>
      </w:r>
    </w:p>
    <w:p w14:paraId="296108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8 年窗口；</w:t>
      </w:r>
    </w:p>
    <w:p w14:paraId="0FF0A3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10 年回退；</w:t>
      </w:r>
    </w:p>
    <w:p w14:paraId="7D3558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收入加权中位 EBIT margin；</w:t>
      </w:r>
    </w:p>
    <w:p w14:paraId="4EA271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不可比年度处理；</w:t>
      </w:r>
    </w:p>
    <w:p w14:paraId="2D0259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周期高低阶段覆盖；</w:t>
      </w:r>
    </w:p>
    <w:p w14:paraId="2A8960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数据不足时返回 </w:t>
      </w:r>
      <w:r>
        <w:rPr>
          <w:rStyle w:val="8"/>
        </w:rPr>
        <w:t>NORMALIZATION_INSUFFICIENT_DATA</w:t>
      </w:r>
      <w:r>
        <w:t>。</w:t>
      </w:r>
    </w:p>
    <w:p w14:paraId="7A6131E7">
      <w:pPr>
        <w:pStyle w:val="4"/>
        <w:keepNext w:val="0"/>
        <w:keepLines w:val="0"/>
        <w:widowControl/>
        <w:suppressLineNumbers w:val="0"/>
      </w:pPr>
      <w:r>
        <w:t>实现时必须把以下内容参数化：</w:t>
      </w:r>
    </w:p>
    <w:p w14:paraId="2F6FD3DC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preferred_years = 8</w:t>
      </w:r>
    </w:p>
    <w:p w14:paraId="73C52BCD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fallback_years = 10</w:t>
      </w:r>
    </w:p>
    <w:p w14:paraId="5DBEA145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min_comparable_years = 7</w:t>
      </w:r>
    </w:p>
    <w:p w14:paraId="5E8A4F85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ebit_formula</w:t>
      </w:r>
    </w:p>
    <w:p w14:paraId="333449D3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impairment_policy</w:t>
      </w:r>
    </w:p>
    <w:p w14:paraId="3709ACF5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one_off_adjustments</w:t>
      </w:r>
    </w:p>
    <w:p w14:paraId="4303B3AE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coverage_thresholds</w:t>
      </w:r>
    </w:p>
    <w:p w14:paraId="06828A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F951F"/>
    <w:multiLevelType w:val="multilevel"/>
    <w:tmpl w:val="80FF9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4BBE46"/>
    <w:multiLevelType w:val="multilevel"/>
    <w:tmpl w:val="A24BB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95080C0"/>
    <w:multiLevelType w:val="multilevel"/>
    <w:tmpl w:val="C9508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A86189"/>
    <w:multiLevelType w:val="multilevel"/>
    <w:tmpl w:val="D2A86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24D40E"/>
    <w:multiLevelType w:val="multilevel"/>
    <w:tmpl w:val="D924D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14B5A6"/>
    <w:multiLevelType w:val="multilevel"/>
    <w:tmpl w:val="2314B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62B270"/>
    <w:multiLevelType w:val="multilevel"/>
    <w:tmpl w:val="2962B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DB5FD33"/>
    <w:multiLevelType w:val="multilevel"/>
    <w:tmpl w:val="3DB5FD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BAA2274"/>
    <w:multiLevelType w:val="multilevel"/>
    <w:tmpl w:val="4BAA22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0C3A9F1"/>
    <w:multiLevelType w:val="multilevel"/>
    <w:tmpl w:val="70C3A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4F9FDCA"/>
    <w:multiLevelType w:val="multilevel"/>
    <w:tmpl w:val="74F9F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5B8FC1D"/>
    <w:multiLevelType w:val="multilevel"/>
    <w:tmpl w:val="75B8F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4"/>
  </w:num>
  <w:num w:numId="10">
    <w:abstractNumId w:val="2"/>
  </w:num>
  <w:num w:numId="11">
    <w:abstractNumId w:val="5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94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2026-09-21T14:08:11Z</dcterms:created>
  <dc:creator>T5E2</dc:creator>
  <cp:lastModifiedBy>T5E2</cp:lastModifiedBy>
  <dcterms:modified xsi:type="dcterms:W3CDTF">2026-09-21T14:08:37Z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0028911AD3A848F4B59BB2B76E49F8D7_12</vt:lpwstr>
  </property>
</Properties>
</file>