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95"/>
        <w:gridCol w:w="2540"/>
        <w:gridCol w:w="2661"/>
      </w:tblGrid>
      <w:tr w14:paraId="3B08A8E6">
        <w:tblPrEx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F2E4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metric_code</w:t>
            </w:r>
          </w:p>
        </w:tc>
        <w:tc>
          <w:tcPr>
            <w:tcW w:w="0" w:type="auto"/>
            <w:shd w:val="clear"/>
            <w:vAlign w:val="center"/>
          </w:tcPr>
          <w:p w14:paraId="342F18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exclusion_terms</w:t>
            </w:r>
          </w:p>
        </w:tc>
        <w:tc>
          <w:tcPr>
            <w:tcW w:w="0" w:type="auto"/>
            <w:shd w:val="clear"/>
            <w:vAlign w:val="center"/>
          </w:tcPr>
          <w:p w14:paraId="6A7F8E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example_sentence</w:t>
            </w:r>
          </w:p>
        </w:tc>
      </w:tr>
      <w:tr w14:paraId="5EAFD1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EF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revenue</w:t>
            </w:r>
          </w:p>
        </w:tc>
        <w:tc>
          <w:tcPr>
            <w:tcW w:w="0" w:type="auto"/>
            <w:shd w:val="clear"/>
            <w:vAlign w:val="center"/>
          </w:tcPr>
          <w:p w14:paraId="5711C6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营业收入预测;营业收入目标;营业收入占比;营业收入增长率</w:t>
            </w:r>
          </w:p>
        </w:tc>
        <w:tc>
          <w:tcPr>
            <w:tcW w:w="0" w:type="auto"/>
            <w:shd w:val="clear"/>
            <w:vAlign w:val="center"/>
          </w:tcPr>
          <w:p w14:paraId="5CB96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本报告期实现营业收入【数值】元，同比【上升/下降】【数值】%。</w:t>
            </w:r>
          </w:p>
        </w:tc>
      </w:tr>
      <w:tr w14:paraId="50D63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A6D7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total_revenue</w:t>
            </w:r>
          </w:p>
        </w:tc>
        <w:tc>
          <w:tcPr>
            <w:tcW w:w="0" w:type="auto"/>
            <w:shd w:val="clear"/>
            <w:vAlign w:val="center"/>
          </w:tcPr>
          <w:p w14:paraId="498559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营业总收入预算;营业总收入预测;营业总收入增长率</w:t>
            </w:r>
          </w:p>
        </w:tc>
        <w:tc>
          <w:tcPr>
            <w:tcW w:w="0" w:type="auto"/>
            <w:shd w:val="clear"/>
            <w:vAlign w:val="center"/>
          </w:tcPr>
          <w:p w14:paraId="34AC8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本年度营业总收入为【数值】元。</w:t>
            </w:r>
          </w:p>
        </w:tc>
      </w:tr>
      <w:tr w14:paraId="4B63B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3580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operating_cost</w:t>
            </w:r>
          </w:p>
        </w:tc>
        <w:tc>
          <w:tcPr>
            <w:tcW w:w="0" w:type="auto"/>
            <w:shd w:val="clear"/>
            <w:vAlign w:val="center"/>
          </w:tcPr>
          <w:p w14:paraId="16A82D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营业成本率;营业成本预算;单位营业成本</w:t>
            </w:r>
          </w:p>
        </w:tc>
        <w:tc>
          <w:tcPr>
            <w:tcW w:w="0" w:type="auto"/>
            <w:shd w:val="clear"/>
            <w:vAlign w:val="center"/>
          </w:tcPr>
          <w:p w14:paraId="5B2568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本报告期营业成本为【数值】元。</w:t>
            </w:r>
          </w:p>
        </w:tc>
      </w:tr>
      <w:tr w14:paraId="3CE33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CE15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gross_profit</w:t>
            </w:r>
          </w:p>
        </w:tc>
        <w:tc>
          <w:tcPr>
            <w:tcW w:w="0" w:type="auto"/>
            <w:shd w:val="clear"/>
            <w:vAlign w:val="center"/>
          </w:tcPr>
          <w:p w14:paraId="79E42E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毛利率;综合毛利率;毛利增长率</w:t>
            </w:r>
          </w:p>
        </w:tc>
        <w:tc>
          <w:tcPr>
            <w:tcW w:w="0" w:type="auto"/>
            <w:shd w:val="clear"/>
            <w:vAlign w:val="center"/>
          </w:tcPr>
          <w:p w14:paraId="552A3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本年度实现毛利【数值】元，毛利率为【数值】%。</w:t>
            </w:r>
          </w:p>
        </w:tc>
      </w:tr>
      <w:tr w14:paraId="2861FB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EE9E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operating_profit</w:t>
            </w:r>
          </w:p>
        </w:tc>
        <w:tc>
          <w:tcPr>
            <w:tcW w:w="0" w:type="auto"/>
            <w:shd w:val="clear"/>
            <w:vAlign w:val="center"/>
          </w:tcPr>
          <w:p w14:paraId="05B4BE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营业利润率;营业利润增长率;营业利润预测</w:t>
            </w:r>
          </w:p>
        </w:tc>
        <w:tc>
          <w:tcPr>
            <w:tcW w:w="0" w:type="auto"/>
            <w:shd w:val="clear"/>
            <w:vAlign w:val="center"/>
          </w:tcPr>
          <w:p w14:paraId="4755DB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本年度营业利润为【数值】元。</w:t>
            </w:r>
          </w:p>
        </w:tc>
      </w:tr>
      <w:tr w14:paraId="347A2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1B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profit_before_tax</w:t>
            </w:r>
          </w:p>
        </w:tc>
        <w:tc>
          <w:tcPr>
            <w:tcW w:w="0" w:type="auto"/>
            <w:shd w:val="clear"/>
            <w:vAlign w:val="center"/>
          </w:tcPr>
          <w:p w14:paraId="0B8571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利润总额增长率;利润总额预算;利润总额预测</w:t>
            </w:r>
          </w:p>
        </w:tc>
        <w:tc>
          <w:tcPr>
            <w:tcW w:w="0" w:type="auto"/>
            <w:shd w:val="clear"/>
            <w:vAlign w:val="center"/>
          </w:tcPr>
          <w:p w14:paraId="65AE72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本年度利润总额为【数值】元。</w:t>
            </w:r>
          </w:p>
        </w:tc>
      </w:tr>
      <w:tr w14:paraId="48079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036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net_income</w:t>
            </w:r>
          </w:p>
        </w:tc>
        <w:tc>
          <w:tcPr>
            <w:tcW w:w="0" w:type="auto"/>
            <w:shd w:val="clear"/>
            <w:vAlign w:val="center"/>
          </w:tcPr>
          <w:p w14:paraId="0A9BE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净利润率;净利润增长率;净利润预测</w:t>
            </w:r>
          </w:p>
        </w:tc>
        <w:tc>
          <w:tcPr>
            <w:tcW w:w="0" w:type="auto"/>
            <w:shd w:val="clear"/>
            <w:vAlign w:val="center"/>
          </w:tcPr>
          <w:p w14:paraId="5A4B2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本报告期实现净利润【数值】元。</w:t>
            </w:r>
          </w:p>
        </w:tc>
      </w:tr>
      <w:tr w14:paraId="414B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78C1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net_income_parent</w:t>
            </w:r>
          </w:p>
        </w:tc>
        <w:tc>
          <w:tcPr>
            <w:tcW w:w="0" w:type="auto"/>
            <w:shd w:val="clear"/>
            <w:vAlign w:val="center"/>
          </w:tcPr>
          <w:p w14:paraId="3DAF70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归母净利润率;归母净利润增长率;归母净利润预测</w:t>
            </w:r>
          </w:p>
        </w:tc>
        <w:tc>
          <w:tcPr>
            <w:tcW w:w="0" w:type="auto"/>
            <w:shd w:val="clear"/>
            <w:vAlign w:val="center"/>
          </w:tcPr>
          <w:p w14:paraId="02939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归属于母公司股东的净利润为【数值】元。</w:t>
            </w:r>
          </w:p>
        </w:tc>
      </w:tr>
      <w:tr w14:paraId="54FF0D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C7F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non_gaap_net_income</w:t>
            </w:r>
          </w:p>
        </w:tc>
        <w:tc>
          <w:tcPr>
            <w:tcW w:w="0" w:type="auto"/>
            <w:shd w:val="clear"/>
            <w:vAlign w:val="center"/>
          </w:tcPr>
          <w:p w14:paraId="514937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非经常性损益;扣非净利润率;扣非净利润增长率</w:t>
            </w:r>
          </w:p>
        </w:tc>
        <w:tc>
          <w:tcPr>
            <w:tcW w:w="0" w:type="auto"/>
            <w:shd w:val="clear"/>
            <w:vAlign w:val="center"/>
          </w:tcPr>
          <w:p w14:paraId="31870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扣除非经常性损益后的净利润为【数值】元。</w:t>
            </w:r>
          </w:p>
        </w:tc>
      </w:tr>
      <w:tr w14:paraId="07F64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FD06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eps_basic</w:t>
            </w:r>
          </w:p>
        </w:tc>
        <w:tc>
          <w:tcPr>
            <w:tcW w:w="0" w:type="auto"/>
            <w:shd w:val="clear"/>
            <w:vAlign w:val="center"/>
          </w:tcPr>
          <w:p w14:paraId="26C5EA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稀释每股收益;基本每股收益率;每股收益增长率</w:t>
            </w:r>
          </w:p>
        </w:tc>
        <w:tc>
          <w:tcPr>
            <w:tcW w:w="0" w:type="auto"/>
            <w:shd w:val="clear"/>
            <w:vAlign w:val="center"/>
          </w:tcPr>
          <w:p w14:paraId="407E4E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本年度基本每股收益为【数值】元/股。</w:t>
            </w:r>
          </w:p>
        </w:tc>
      </w:tr>
      <w:tr w14:paraId="18CBF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AB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eps_diluted</w:t>
            </w:r>
          </w:p>
        </w:tc>
        <w:tc>
          <w:tcPr>
            <w:tcW w:w="0" w:type="auto"/>
            <w:shd w:val="clear"/>
            <w:vAlign w:val="center"/>
          </w:tcPr>
          <w:p w14:paraId="536644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基本每股收益;稀释每股收益率</w:t>
            </w:r>
          </w:p>
        </w:tc>
        <w:tc>
          <w:tcPr>
            <w:tcW w:w="0" w:type="auto"/>
            <w:shd w:val="clear"/>
            <w:vAlign w:val="center"/>
          </w:tcPr>
          <w:p w14:paraId="4AD882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本年度稀释每股收益为【数值】元/股。</w:t>
            </w:r>
          </w:p>
        </w:tc>
      </w:tr>
      <w:tr w14:paraId="75D9B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F5E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cfo</w:t>
            </w:r>
          </w:p>
        </w:tc>
        <w:tc>
          <w:tcPr>
            <w:tcW w:w="0" w:type="auto"/>
            <w:shd w:val="clear"/>
            <w:vAlign w:val="center"/>
          </w:tcPr>
          <w:p w14:paraId="442D2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投资活动产生的现金流量净额;筹资活动产生的现金流量净额;经营现金流率</w:t>
            </w:r>
          </w:p>
        </w:tc>
        <w:tc>
          <w:tcPr>
            <w:tcW w:w="0" w:type="auto"/>
            <w:shd w:val="clear"/>
            <w:vAlign w:val="center"/>
          </w:tcPr>
          <w:p w14:paraId="680373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经营活动产生的现金流量净额为【数值】元。</w:t>
            </w:r>
          </w:p>
        </w:tc>
      </w:tr>
      <w:tr w14:paraId="7A362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C5C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cfi</w:t>
            </w:r>
          </w:p>
        </w:tc>
        <w:tc>
          <w:tcPr>
            <w:tcW w:w="0" w:type="auto"/>
            <w:shd w:val="clear"/>
            <w:vAlign w:val="center"/>
          </w:tcPr>
          <w:p w14:paraId="6A07E7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经营活动产生的现金流量净额;筹资活动产生的现金流量净额</w:t>
            </w:r>
          </w:p>
        </w:tc>
        <w:tc>
          <w:tcPr>
            <w:tcW w:w="0" w:type="auto"/>
            <w:shd w:val="clear"/>
            <w:vAlign w:val="center"/>
          </w:tcPr>
          <w:p w14:paraId="5DA77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投资活动产生的现金流量净额为【数值】元。</w:t>
            </w:r>
          </w:p>
        </w:tc>
      </w:tr>
      <w:tr w14:paraId="423EA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21B3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cff</w:t>
            </w:r>
          </w:p>
        </w:tc>
        <w:tc>
          <w:tcPr>
            <w:tcW w:w="0" w:type="auto"/>
            <w:shd w:val="clear"/>
            <w:vAlign w:val="center"/>
          </w:tcPr>
          <w:p w14:paraId="2BBFB3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经营活动产生的现金流量净额;投资活动产生的现金流量净额</w:t>
            </w:r>
          </w:p>
        </w:tc>
        <w:tc>
          <w:tcPr>
            <w:tcW w:w="0" w:type="auto"/>
            <w:shd w:val="clear"/>
            <w:vAlign w:val="center"/>
          </w:tcPr>
          <w:p w14:paraId="59C1D8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筹资活动产生的现金流量净额为【数值】元。</w:t>
            </w:r>
          </w:p>
        </w:tc>
      </w:tr>
      <w:tr w14:paraId="4192C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0E9C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cash_end</w:t>
            </w:r>
          </w:p>
        </w:tc>
        <w:tc>
          <w:tcPr>
            <w:tcW w:w="0" w:type="auto"/>
            <w:shd w:val="clear"/>
            <w:vAlign w:val="center"/>
          </w:tcPr>
          <w:p w14:paraId="226C5A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现金净增加额;现金流量净额;货币资金</w:t>
            </w:r>
          </w:p>
        </w:tc>
        <w:tc>
          <w:tcPr>
            <w:tcW w:w="0" w:type="auto"/>
            <w:shd w:val="clear"/>
            <w:vAlign w:val="center"/>
          </w:tcPr>
          <w:p w14:paraId="5A49F0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期末现金及现金等价物余额为【数值】元。</w:t>
            </w:r>
          </w:p>
        </w:tc>
      </w:tr>
      <w:tr w14:paraId="3644B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4C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cash_net_increase</w:t>
            </w:r>
          </w:p>
        </w:tc>
        <w:tc>
          <w:tcPr>
            <w:tcW w:w="0" w:type="auto"/>
            <w:shd w:val="clear"/>
            <w:vAlign w:val="center"/>
          </w:tcPr>
          <w:p w14:paraId="0A43E4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期末现金及现金等价物余额;经营现金流净额</w:t>
            </w:r>
          </w:p>
        </w:tc>
        <w:tc>
          <w:tcPr>
            <w:tcW w:w="0" w:type="auto"/>
            <w:shd w:val="clear"/>
            <w:vAlign w:val="center"/>
          </w:tcPr>
          <w:p w14:paraId="3D3C82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现金及现金等价物净增加额为【数值】元。</w:t>
            </w:r>
          </w:p>
        </w:tc>
      </w:tr>
      <w:tr w14:paraId="69BDB7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BC7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interest_expense</w:t>
            </w:r>
          </w:p>
        </w:tc>
        <w:tc>
          <w:tcPr>
            <w:tcW w:w="0" w:type="auto"/>
            <w:shd w:val="clear"/>
            <w:vAlign w:val="center"/>
          </w:tcPr>
          <w:p w14:paraId="2DE9BB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利息收入;财务费用;利息保障倍数</w:t>
            </w:r>
          </w:p>
        </w:tc>
        <w:tc>
          <w:tcPr>
            <w:tcW w:w="0" w:type="auto"/>
            <w:shd w:val="clear"/>
            <w:vAlign w:val="center"/>
          </w:tcPr>
          <w:p w14:paraId="2FF876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本年度利息费用为【数值】元。</w:t>
            </w:r>
          </w:p>
        </w:tc>
      </w:tr>
      <w:tr w14:paraId="3047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A0A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interest_income</w:t>
            </w:r>
          </w:p>
        </w:tc>
        <w:tc>
          <w:tcPr>
            <w:tcW w:w="0" w:type="auto"/>
            <w:shd w:val="clear"/>
            <w:vAlign w:val="center"/>
          </w:tcPr>
          <w:p w14:paraId="37B16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利息费用;财务费用;投资收益</w:t>
            </w:r>
          </w:p>
        </w:tc>
        <w:tc>
          <w:tcPr>
            <w:tcW w:w="0" w:type="auto"/>
            <w:shd w:val="clear"/>
            <w:vAlign w:val="center"/>
          </w:tcPr>
          <w:p w14:paraId="4C75EC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本年度利息收入为【数值】元。</w:t>
            </w:r>
          </w:p>
        </w:tc>
      </w:tr>
      <w:tr w14:paraId="5BBBF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378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finance_expense</w:t>
            </w:r>
          </w:p>
        </w:tc>
        <w:tc>
          <w:tcPr>
            <w:tcW w:w="0" w:type="auto"/>
            <w:shd w:val="clear"/>
            <w:vAlign w:val="center"/>
          </w:tcPr>
          <w:p w14:paraId="798315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利息费用;利息收入;财务费用率</w:t>
            </w:r>
          </w:p>
        </w:tc>
        <w:tc>
          <w:tcPr>
            <w:tcW w:w="0" w:type="auto"/>
            <w:shd w:val="clear"/>
            <w:vAlign w:val="center"/>
          </w:tcPr>
          <w:p w14:paraId="10F87E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本年度财务费用为【数值】元。</w:t>
            </w:r>
          </w:p>
        </w:tc>
      </w:tr>
      <w:tr w14:paraId="63252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615F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total_assets</w:t>
            </w:r>
          </w:p>
        </w:tc>
        <w:tc>
          <w:tcPr>
            <w:tcW w:w="0" w:type="auto"/>
            <w:shd w:val="clear"/>
            <w:vAlign w:val="center"/>
          </w:tcPr>
          <w:p w14:paraId="1BC506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总资产周转率;资产负债率;资产总额增长率</w:t>
            </w:r>
          </w:p>
        </w:tc>
        <w:tc>
          <w:tcPr>
            <w:tcW w:w="0" w:type="auto"/>
            <w:shd w:val="clear"/>
            <w:vAlign w:val="center"/>
          </w:tcPr>
          <w:p w14:paraId="16F6F9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报告期末资产总额为【数值】元。</w:t>
            </w:r>
          </w:p>
        </w:tc>
      </w:tr>
      <w:tr w14:paraId="35F9F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D62A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total_liabilities</w:t>
            </w:r>
          </w:p>
        </w:tc>
        <w:tc>
          <w:tcPr>
            <w:tcW w:w="0" w:type="auto"/>
            <w:shd w:val="clear"/>
            <w:vAlign w:val="center"/>
          </w:tcPr>
          <w:p w14:paraId="19B63E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资产负债率;有息负债;流动负债合计</w:t>
            </w:r>
          </w:p>
        </w:tc>
        <w:tc>
          <w:tcPr>
            <w:tcW w:w="0" w:type="auto"/>
            <w:shd w:val="clear"/>
            <w:vAlign w:val="center"/>
          </w:tcPr>
          <w:p w14:paraId="6AB7C5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报告期末负债总额为【数值】元。</w:t>
            </w:r>
          </w:p>
        </w:tc>
      </w:tr>
      <w:tr w14:paraId="3BD68E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69CB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equity_parent</w:t>
            </w:r>
          </w:p>
        </w:tc>
        <w:tc>
          <w:tcPr>
            <w:tcW w:w="0" w:type="auto"/>
            <w:shd w:val="clear"/>
            <w:vAlign w:val="center"/>
          </w:tcPr>
          <w:p w14:paraId="460D2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少数股东权益;股东权益合计;净资产收益率</w:t>
            </w:r>
          </w:p>
        </w:tc>
        <w:tc>
          <w:tcPr>
            <w:tcW w:w="0" w:type="auto"/>
            <w:shd w:val="clear"/>
            <w:vAlign w:val="center"/>
          </w:tcPr>
          <w:p w14:paraId="799413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报告期末归属于母公司股东的权益为【数值】元。</w:t>
            </w:r>
          </w:p>
        </w:tc>
      </w:tr>
      <w:tr w14:paraId="0FE9E4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13F5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accounts_receivable</w:t>
            </w:r>
          </w:p>
        </w:tc>
        <w:tc>
          <w:tcPr>
            <w:tcW w:w="0" w:type="auto"/>
            <w:shd w:val="clear"/>
            <w:vAlign w:val="center"/>
          </w:tcPr>
          <w:p w14:paraId="7BB092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应收账款周转率;应收票据及应收账款;坏账准备</w:t>
            </w:r>
          </w:p>
        </w:tc>
        <w:tc>
          <w:tcPr>
            <w:tcW w:w="0" w:type="auto"/>
            <w:shd w:val="clear"/>
            <w:vAlign w:val="center"/>
          </w:tcPr>
          <w:p w14:paraId="778F2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期末应收账款账面余额为【数值】元。</w:t>
            </w:r>
          </w:p>
        </w:tc>
      </w:tr>
      <w:tr w14:paraId="17422A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435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notes_and_ar</w:t>
            </w:r>
          </w:p>
        </w:tc>
        <w:tc>
          <w:tcPr>
            <w:tcW w:w="0" w:type="auto"/>
            <w:shd w:val="clear"/>
            <w:vAlign w:val="center"/>
          </w:tcPr>
          <w:p w14:paraId="48FD6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应收账款;应收票据;应收账款周转率</w:t>
            </w:r>
          </w:p>
        </w:tc>
        <w:tc>
          <w:tcPr>
            <w:tcW w:w="0" w:type="auto"/>
            <w:shd w:val="clear"/>
            <w:vAlign w:val="center"/>
          </w:tcPr>
          <w:p w14:paraId="1AEFB0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期末应收票据及应收账款为【数值】元。</w:t>
            </w:r>
          </w:p>
        </w:tc>
      </w:tr>
      <w:tr w14:paraId="6B57C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606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inventory</w:t>
            </w:r>
          </w:p>
        </w:tc>
        <w:tc>
          <w:tcPr>
            <w:tcW w:w="0" w:type="auto"/>
            <w:shd w:val="clear"/>
            <w:vAlign w:val="center"/>
          </w:tcPr>
          <w:p w14:paraId="3AB54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存货周转率;存货跌价准备;存货占比</w:t>
            </w:r>
          </w:p>
        </w:tc>
        <w:tc>
          <w:tcPr>
            <w:tcW w:w="0" w:type="auto"/>
            <w:shd w:val="clear"/>
            <w:vAlign w:val="center"/>
          </w:tcPr>
          <w:p w14:paraId="70981E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期末存货账面余额为【数值】元。</w:t>
            </w:r>
          </w:p>
        </w:tc>
      </w:tr>
      <w:tr w14:paraId="560DC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010E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contract_liabilities</w:t>
            </w:r>
          </w:p>
        </w:tc>
        <w:tc>
          <w:tcPr>
            <w:tcW w:w="0" w:type="auto"/>
            <w:shd w:val="clear"/>
            <w:vAlign w:val="center"/>
          </w:tcPr>
          <w:p w14:paraId="208379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合同资产;合同负债率;负债合同</w:t>
            </w:r>
          </w:p>
        </w:tc>
        <w:tc>
          <w:tcPr>
            <w:tcW w:w="0" w:type="auto"/>
            <w:shd w:val="clear"/>
            <w:vAlign w:val="center"/>
          </w:tcPr>
          <w:p w14:paraId="485C3A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期末合同负债为【数值】元。</w:t>
            </w:r>
          </w:p>
        </w:tc>
      </w:tr>
      <w:tr w14:paraId="16A1E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187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accounts_payable</w:t>
            </w:r>
          </w:p>
        </w:tc>
        <w:tc>
          <w:tcPr>
            <w:tcW w:w="0" w:type="auto"/>
            <w:shd w:val="clear"/>
            <w:vAlign w:val="center"/>
          </w:tcPr>
          <w:p w14:paraId="3D5D6D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应付票据及应付账款;应付账款周转率</w:t>
            </w:r>
          </w:p>
        </w:tc>
        <w:tc>
          <w:tcPr>
            <w:tcW w:w="0" w:type="auto"/>
            <w:shd w:val="clear"/>
            <w:vAlign w:val="center"/>
          </w:tcPr>
          <w:p w14:paraId="2C135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期末应付账款为【数值】元。</w:t>
            </w:r>
          </w:p>
        </w:tc>
      </w:tr>
      <w:tr w14:paraId="1BDE2C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E9E8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ppe</w:t>
            </w:r>
          </w:p>
        </w:tc>
        <w:tc>
          <w:tcPr>
            <w:tcW w:w="0" w:type="auto"/>
            <w:shd w:val="clear"/>
            <w:vAlign w:val="center"/>
          </w:tcPr>
          <w:p w14:paraId="0BF665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固定资产周转率;固定资产原值;固定资产减值准备</w:t>
            </w:r>
          </w:p>
        </w:tc>
        <w:tc>
          <w:tcPr>
            <w:tcW w:w="0" w:type="auto"/>
            <w:shd w:val="clear"/>
            <w:vAlign w:val="center"/>
          </w:tcPr>
          <w:p w14:paraId="08178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期末固定资产账面价值为【数值】元。</w:t>
            </w:r>
          </w:p>
        </w:tc>
      </w:tr>
      <w:tr w14:paraId="79642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06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capex</w:t>
            </w:r>
          </w:p>
        </w:tc>
        <w:tc>
          <w:tcPr>
            <w:tcW w:w="0" w:type="auto"/>
            <w:shd w:val="clear"/>
            <w:vAlign w:val="center"/>
          </w:tcPr>
          <w:p w14:paraId="09499B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固定资产原值;固定资产账面价值;资本化研发支出</w:t>
            </w:r>
          </w:p>
        </w:tc>
        <w:tc>
          <w:tcPr>
            <w:tcW w:w="0" w:type="auto"/>
            <w:shd w:val="clear"/>
            <w:vAlign w:val="center"/>
          </w:tcPr>
          <w:p w14:paraId="7C813E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本年度购建固定资产、无形资产和其他长期资产支付的现金为【数值】元。</w:t>
            </w:r>
          </w:p>
        </w:tc>
      </w:tr>
      <w:tr w14:paraId="286FFD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B33E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goodwill</w:t>
            </w:r>
          </w:p>
        </w:tc>
        <w:tc>
          <w:tcPr>
            <w:tcW w:w="0" w:type="auto"/>
            <w:shd w:val="clear"/>
            <w:vAlign w:val="center"/>
          </w:tcPr>
          <w:p w14:paraId="7ED53C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商誉减值准备;商誉占比;商誉评估</w:t>
            </w:r>
          </w:p>
        </w:tc>
        <w:tc>
          <w:tcPr>
            <w:tcW w:w="0" w:type="auto"/>
            <w:shd w:val="clear"/>
            <w:vAlign w:val="center"/>
          </w:tcPr>
          <w:p w14:paraId="0D2FE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期末商誉账面价值为【数值】元。</w:t>
            </w:r>
          </w:p>
        </w:tc>
      </w:tr>
      <w:tr w14:paraId="2A7E6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EB12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impairment_loss</w:t>
            </w:r>
          </w:p>
        </w:tc>
        <w:tc>
          <w:tcPr>
            <w:tcW w:w="0" w:type="auto"/>
            <w:shd w:val="clear"/>
            <w:vAlign w:val="center"/>
          </w:tcPr>
          <w:p w14:paraId="314982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信用减值损失;商誉减值;资产减值准备</w:t>
            </w:r>
          </w:p>
        </w:tc>
        <w:tc>
          <w:tcPr>
            <w:tcW w:w="0" w:type="auto"/>
            <w:shd w:val="clear"/>
            <w:vAlign w:val="center"/>
          </w:tcPr>
          <w:p w14:paraId="71C580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本年度确认资产减值损失【数值】元。</w:t>
            </w:r>
          </w:p>
        </w:tc>
      </w:tr>
      <w:tr w14:paraId="25B9D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C0D6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credit_impairment_loss</w:t>
            </w:r>
          </w:p>
        </w:tc>
        <w:tc>
          <w:tcPr>
            <w:tcW w:w="0" w:type="auto"/>
            <w:shd w:val="clear"/>
            <w:vAlign w:val="center"/>
          </w:tcPr>
          <w:p w14:paraId="0C582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资产减值损失;坏账准备;预期信用损失</w:t>
            </w:r>
          </w:p>
        </w:tc>
        <w:tc>
          <w:tcPr>
            <w:tcW w:w="0" w:type="auto"/>
            <w:shd w:val="clear"/>
            <w:vAlign w:val="center"/>
          </w:tcPr>
          <w:p w14:paraId="054160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本年度确认信用减值损失【数值】元。</w:t>
            </w:r>
          </w:p>
        </w:tc>
      </w:tr>
      <w:tr w14:paraId="0FE8D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F33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goodwill_impairment</w:t>
            </w:r>
          </w:p>
        </w:tc>
        <w:tc>
          <w:tcPr>
            <w:tcW w:w="0" w:type="auto"/>
            <w:shd w:val="clear"/>
            <w:vAlign w:val="center"/>
          </w:tcPr>
          <w:p w14:paraId="2E547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商誉账面价值;资产减值损失</w:t>
            </w:r>
          </w:p>
        </w:tc>
        <w:tc>
          <w:tcPr>
            <w:tcW w:w="0" w:type="auto"/>
            <w:shd w:val="clear"/>
            <w:vAlign w:val="center"/>
          </w:tcPr>
          <w:p w14:paraId="04B38B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本年度计提商誉减值损失【数值】元。</w:t>
            </w:r>
          </w:p>
        </w:tc>
      </w:tr>
      <w:tr w14:paraId="244B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A5F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non_recurring_gain_loss</w:t>
            </w:r>
          </w:p>
        </w:tc>
        <w:tc>
          <w:tcPr>
            <w:tcW w:w="0" w:type="auto"/>
            <w:shd w:val="clear"/>
            <w:vAlign w:val="center"/>
          </w:tcPr>
          <w:p w14:paraId="34F18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扣非净利润;扣除非经常性损益后的净利润</w:t>
            </w:r>
          </w:p>
        </w:tc>
        <w:tc>
          <w:tcPr>
            <w:tcW w:w="0" w:type="auto"/>
            <w:shd w:val="clear"/>
            <w:vAlign w:val="center"/>
          </w:tcPr>
          <w:p w14:paraId="37ABC4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归属于上市公司股东的非经常性损益为【数值】元。</w:t>
            </w:r>
          </w:p>
        </w:tc>
      </w:tr>
      <w:tr w14:paraId="072C14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812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government_grant</w:t>
            </w:r>
          </w:p>
        </w:tc>
        <w:tc>
          <w:tcPr>
            <w:tcW w:w="0" w:type="auto"/>
            <w:shd w:val="clear"/>
            <w:vAlign w:val="center"/>
          </w:tcPr>
          <w:p w14:paraId="3CE6B4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政府补助递延收益;政府补助退回;补助收入确认</w:t>
            </w:r>
          </w:p>
        </w:tc>
        <w:tc>
          <w:tcPr>
            <w:tcW w:w="0" w:type="auto"/>
            <w:shd w:val="clear"/>
            <w:vAlign w:val="center"/>
          </w:tcPr>
          <w:p w14:paraId="755FC3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本年度计入当期损益的政府补助为【数值】元。</w:t>
            </w:r>
          </w:p>
        </w:tc>
      </w:tr>
      <w:tr w14:paraId="55CA4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C43A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asset_disposal_gain_loss</w:t>
            </w:r>
          </w:p>
        </w:tc>
        <w:tc>
          <w:tcPr>
            <w:tcW w:w="0" w:type="auto"/>
            <w:shd w:val="clear"/>
            <w:vAlign w:val="center"/>
          </w:tcPr>
          <w:p w14:paraId="09F466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固定资产处置;资产处置收益率;营业收入</w:t>
            </w:r>
          </w:p>
        </w:tc>
        <w:tc>
          <w:tcPr>
            <w:tcW w:w="0" w:type="auto"/>
            <w:shd w:val="clear"/>
            <w:vAlign w:val="center"/>
          </w:tcPr>
          <w:p w14:paraId="7B73C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本年度资产处置收益为【数值】元。</w:t>
            </w:r>
          </w:p>
        </w:tc>
      </w:tr>
      <w:tr w14:paraId="0D3B6A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86D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fair_value_gain_loss</w:t>
            </w:r>
          </w:p>
        </w:tc>
        <w:tc>
          <w:tcPr>
            <w:tcW w:w="0" w:type="auto"/>
            <w:shd w:val="clear"/>
            <w:vAlign w:val="center"/>
          </w:tcPr>
          <w:p w14:paraId="5A41C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其他综合收益;交易性金融资产;公允价值计量</w:t>
            </w:r>
          </w:p>
        </w:tc>
        <w:tc>
          <w:tcPr>
            <w:tcW w:w="0" w:type="auto"/>
            <w:shd w:val="clear"/>
            <w:vAlign w:val="center"/>
          </w:tcPr>
          <w:p w14:paraId="332F6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本年度公允价值变动收益为【数值】元。</w:t>
            </w:r>
          </w:p>
        </w:tc>
      </w:tr>
      <w:tr w14:paraId="78716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FEA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investment_income</w:t>
            </w:r>
          </w:p>
        </w:tc>
        <w:tc>
          <w:tcPr>
            <w:tcW w:w="0" w:type="auto"/>
            <w:shd w:val="clear"/>
            <w:vAlign w:val="center"/>
          </w:tcPr>
          <w:p w14:paraId="5D5B9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投资活动现金流;长期股权投资;其他收益</w:t>
            </w:r>
          </w:p>
        </w:tc>
        <w:tc>
          <w:tcPr>
            <w:tcW w:w="0" w:type="auto"/>
            <w:shd w:val="clear"/>
            <w:vAlign w:val="center"/>
          </w:tcPr>
          <w:p w14:paraId="43C0F2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本年度投资收益为【数值】元。</w:t>
            </w:r>
          </w:p>
        </w:tc>
      </w:tr>
      <w:tr w14:paraId="58ED26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616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audit_opinion</w:t>
            </w:r>
          </w:p>
        </w:tc>
        <w:tc>
          <w:tcPr>
            <w:tcW w:w="0" w:type="auto"/>
            <w:shd w:val="clear"/>
            <w:vAlign w:val="center"/>
          </w:tcPr>
          <w:p w14:paraId="7D435E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内部控制审计意见;审计费用;审计委员会</w:t>
            </w:r>
          </w:p>
        </w:tc>
        <w:tc>
          <w:tcPr>
            <w:tcW w:w="0" w:type="auto"/>
            <w:shd w:val="clear"/>
            <w:vAlign w:val="center"/>
          </w:tcPr>
          <w:p w14:paraId="69543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会计师事务所对公司本年度财务报告出具了【审计意见类型】。</w:t>
            </w:r>
          </w:p>
        </w:tc>
      </w:tr>
      <w:tr w14:paraId="39830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AF2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accounting_policy_change</w:t>
            </w:r>
          </w:p>
        </w:tc>
        <w:tc>
          <w:tcPr>
            <w:tcW w:w="0" w:type="auto"/>
            <w:shd w:val="clear"/>
            <w:vAlign w:val="center"/>
          </w:tcPr>
          <w:p w14:paraId="76D27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会计估计变更;前期差错更正;会计政策和会计估计</w:t>
            </w:r>
          </w:p>
        </w:tc>
        <w:tc>
          <w:tcPr>
            <w:tcW w:w="0" w:type="auto"/>
            <w:shd w:val="clear"/>
            <w:vAlign w:val="center"/>
          </w:tcPr>
          <w:p w14:paraId="71DF41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本年度因会计政策变更对比较数据进行追溯调整。</w:t>
            </w:r>
          </w:p>
        </w:tc>
      </w:tr>
      <w:tr w14:paraId="142427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7E8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steel_sales_volume</w:t>
            </w:r>
          </w:p>
        </w:tc>
        <w:tc>
          <w:tcPr>
            <w:tcW w:w="0" w:type="auto"/>
            <w:shd w:val="clear"/>
            <w:vAlign w:val="center"/>
          </w:tcPr>
          <w:p w14:paraId="2C78F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粗钢产量;钢材产量;钢材产能;钢材销售收入</w:t>
            </w:r>
          </w:p>
        </w:tc>
        <w:tc>
          <w:tcPr>
            <w:tcW w:w="0" w:type="auto"/>
            <w:shd w:val="clear"/>
            <w:vAlign w:val="center"/>
          </w:tcPr>
          <w:p w14:paraId="6CDD9D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本年度钢材销量为【数值】万吨。</w:t>
            </w:r>
          </w:p>
        </w:tc>
      </w:tr>
      <w:tr w14:paraId="00A65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13C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crude_steel_output</w:t>
            </w:r>
          </w:p>
        </w:tc>
        <w:tc>
          <w:tcPr>
            <w:tcW w:w="0" w:type="auto"/>
            <w:shd w:val="clear"/>
            <w:vAlign w:val="center"/>
          </w:tcPr>
          <w:p w14:paraId="3E026D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钢材产量;钢材销量;粗钢产能</w:t>
            </w:r>
          </w:p>
        </w:tc>
        <w:tc>
          <w:tcPr>
            <w:tcW w:w="0" w:type="auto"/>
            <w:shd w:val="clear"/>
            <w:vAlign w:val="center"/>
          </w:tcPr>
          <w:p w14:paraId="795FF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本年度粗钢产量为【数值】万吨。</w:t>
            </w:r>
          </w:p>
        </w:tc>
      </w:tr>
      <w:tr w14:paraId="5EDA5A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B626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steel_output</w:t>
            </w:r>
          </w:p>
        </w:tc>
        <w:tc>
          <w:tcPr>
            <w:tcW w:w="0" w:type="auto"/>
            <w:shd w:val="clear"/>
            <w:vAlign w:val="center"/>
          </w:tcPr>
          <w:p w14:paraId="321AE8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粗钢产量;钢材销量;钢材产能</w:t>
            </w:r>
          </w:p>
        </w:tc>
        <w:tc>
          <w:tcPr>
            <w:tcW w:w="0" w:type="auto"/>
            <w:shd w:val="clear"/>
            <w:vAlign w:val="center"/>
          </w:tcPr>
          <w:p w14:paraId="57A49C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本年度钢材产量为【数值】万吨。</w:t>
            </w:r>
          </w:p>
        </w:tc>
      </w:tr>
      <w:tr w14:paraId="492F38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C1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effective_capacity</w:t>
            </w:r>
          </w:p>
        </w:tc>
        <w:tc>
          <w:tcPr>
            <w:tcW w:w="0" w:type="auto"/>
            <w:shd w:val="clear"/>
            <w:vAlign w:val="center"/>
          </w:tcPr>
          <w:p w14:paraId="7050F4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设计产能;产能利用率;产能置换</w:t>
            </w:r>
          </w:p>
        </w:tc>
        <w:tc>
          <w:tcPr>
            <w:tcW w:w="0" w:type="auto"/>
            <w:shd w:val="clear"/>
            <w:vAlign w:val="center"/>
          </w:tcPr>
          <w:p w14:paraId="46131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报告期钢材有效产能为【数值】万吨。</w:t>
            </w:r>
          </w:p>
        </w:tc>
      </w:tr>
      <w:tr w14:paraId="5DBD6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DC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capacity_utilization</w:t>
            </w:r>
          </w:p>
        </w:tc>
        <w:tc>
          <w:tcPr>
            <w:tcW w:w="0" w:type="auto"/>
            <w:shd w:val="clear"/>
            <w:vAlign w:val="center"/>
          </w:tcPr>
          <w:p w14:paraId="2BE9D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设计产能;有效产能;产能利用率目标</w:t>
            </w:r>
          </w:p>
        </w:tc>
        <w:tc>
          <w:tcPr>
            <w:tcW w:w="0" w:type="auto"/>
            <w:shd w:val="clear"/>
            <w:vAlign w:val="center"/>
          </w:tcPr>
          <w:p w14:paraId="26537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本年度粗钢产能利用率为【数值】%。</w:t>
            </w:r>
          </w:p>
        </w:tc>
      </w:tr>
      <w:tr w14:paraId="3248B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8772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steel_spread</w:t>
            </w:r>
          </w:p>
        </w:tc>
        <w:tc>
          <w:tcPr>
            <w:tcW w:w="0" w:type="auto"/>
            <w:shd w:val="clear"/>
            <w:vAlign w:val="center"/>
          </w:tcPr>
          <w:p w14:paraId="0D0A1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吨钢毛利;吨钢 EBITDA;吨钢成本</w:t>
            </w:r>
          </w:p>
        </w:tc>
        <w:tc>
          <w:tcPr>
            <w:tcW w:w="0" w:type="auto"/>
            <w:shd w:val="clear"/>
            <w:vAlign w:val="center"/>
          </w:tcPr>
          <w:p w14:paraId="1C48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本年度吨钢原料差价为【数值】元/吨。</w:t>
            </w:r>
          </w:p>
        </w:tc>
      </w:tr>
      <w:tr w14:paraId="56EAC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13B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steel_gross_profit_per_ton</w:t>
            </w:r>
          </w:p>
        </w:tc>
        <w:tc>
          <w:tcPr>
            <w:tcW w:w="0" w:type="auto"/>
            <w:shd w:val="clear"/>
            <w:vAlign w:val="center"/>
          </w:tcPr>
          <w:p w14:paraId="571BB2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吨钢原料差价;吨钢 EBITDA;吨钢成本</w:t>
            </w:r>
          </w:p>
        </w:tc>
        <w:tc>
          <w:tcPr>
            <w:tcW w:w="0" w:type="auto"/>
            <w:shd w:val="clear"/>
            <w:vAlign w:val="center"/>
          </w:tcPr>
          <w:p w14:paraId="351FC4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本年度吨钢毛利为【数值】元/吨。</w:t>
            </w:r>
          </w:p>
        </w:tc>
      </w:tr>
      <w:tr w14:paraId="624D6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9991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steel_ebitda_per_ton</w:t>
            </w:r>
          </w:p>
        </w:tc>
        <w:tc>
          <w:tcPr>
            <w:tcW w:w="0" w:type="auto"/>
            <w:shd w:val="clear"/>
            <w:vAlign w:val="center"/>
          </w:tcPr>
          <w:p w14:paraId="12778D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吨钢毛利;吨钢原料差价;EBITDA 利润率</w:t>
            </w:r>
          </w:p>
        </w:tc>
        <w:tc>
          <w:tcPr>
            <w:tcW w:w="0" w:type="auto"/>
            <w:shd w:val="clear"/>
            <w:vAlign w:val="center"/>
          </w:tcPr>
          <w:p w14:paraId="2A5360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本年度吨钢 EBITDA 为【数值】元/吨。</w:t>
            </w:r>
          </w:p>
        </w:tc>
      </w:tr>
    </w:tbl>
    <w:p w14:paraId="0CE02121">
      <w:pPr>
        <w:pStyle w:val="3"/>
        <w:keepNext w:val="0"/>
        <w:keepLines w:val="0"/>
        <w:widowControl/>
        <w:suppressLineNumbers w:val="0"/>
      </w:pPr>
      <w:r>
        <w:t>最先填入并回归测试这 6 个字段：</w:t>
      </w:r>
    </w:p>
    <w:p w14:paraId="762330D7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revenue</w:t>
      </w:r>
    </w:p>
    <w:p w14:paraId="0636A679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operating_profit</w:t>
      </w:r>
    </w:p>
    <w:p w14:paraId="6C87B6C2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profit_before_tax</w:t>
      </w:r>
    </w:p>
    <w:p w14:paraId="11B6B673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interest_expense</w:t>
      </w:r>
    </w:p>
    <w:p w14:paraId="57FC5B1C">
      <w:pPr>
        <w:pStyle w:val="2"/>
        <w:keepNext w:val="0"/>
        <w:keepLines w:val="0"/>
        <w:widowControl/>
        <w:suppressLineNumbers w:val="0"/>
        <w:bidi w:val="0"/>
        <w:rPr>
          <w:rStyle w:val="6"/>
        </w:rPr>
      </w:pPr>
      <w:r>
        <w:rPr>
          <w:rStyle w:val="6"/>
        </w:rPr>
        <w:t>cfo</w:t>
      </w:r>
    </w:p>
    <w:p w14:paraId="1AB1D286">
      <w:pPr>
        <w:pStyle w:val="2"/>
        <w:keepNext w:val="0"/>
        <w:keepLines w:val="0"/>
        <w:widowControl/>
        <w:suppressLineNumbers w:val="0"/>
        <w:bidi w:val="0"/>
      </w:pPr>
      <w:r>
        <w:rPr>
          <w:rStyle w:val="6"/>
        </w:rPr>
        <w:t>non_recurring_gain_loss</w:t>
      </w:r>
    </w:p>
    <w:p w14:paraId="730DD680">
      <w:pPr>
        <w:pStyle w:val="3"/>
        <w:keepNext w:val="0"/>
        <w:keepLines w:val="0"/>
        <w:widowControl/>
        <w:suppressLineNumbers w:val="0"/>
      </w:pPr>
      <w:r>
        <w:t>注意：</w:t>
      </w:r>
      <w:r>
        <w:rPr>
          <w:rStyle w:val="6"/>
        </w:rPr>
        <w:t>example_sentence</w:t>
      </w:r>
      <w:r>
        <w:t xml:space="preserve"> 中的占位符应最终替换为真实年报原句；如果暂时使用以上标准句，必须标记为 </w:t>
      </w:r>
      <w:r>
        <w:rPr>
          <w:rStyle w:val="6"/>
        </w:rPr>
        <w:t>synthetic_example</w:t>
      </w:r>
      <w:r>
        <w:t>，不能当作真实证据。</w:t>
      </w:r>
    </w:p>
    <w:p w14:paraId="569BE0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95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2026-09-21T14:36:17Z</dcterms:created>
  <dc:creator>T5E2</dc:creator>
  <cp:lastModifiedBy>T5E2</cp:lastModifiedBy>
  <dcterms:modified xsi:type="dcterms:W3CDTF">2026-09-21T14:36:31Z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eyJoZGlkIjoiMTgxZDMwOTkxZGMxZTM5NDgxNTZmZmNmNmY0OGRkODMiLCJ1c2VySWQiOiIxNTEyNzI2OTU4In0=</vt:lpwstr>
  </property>
  <property fmtid="{D5CDD505-2E9C-101B-9397-08002B2CF9AE}" pid="4" name="ICV">
    <vt:lpwstr>E568D5A008C74EBD93031B6DF2B7378D_12</vt:lpwstr>
  </property>
</Properties>
</file>