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97A38">
      <w:pPr>
        <w:pStyle w:val="3"/>
        <w:keepNext w:val="0"/>
        <w:keepLines w:val="0"/>
        <w:widowControl/>
        <w:suppressLineNumbers w:val="0"/>
      </w:pPr>
      <w:r>
        <w:t>一、</w:t>
      </w:r>
      <w:bookmarkStart w:id="0" w:name="_GoBack"/>
      <w:bookmarkEnd w:id="0"/>
    </w:p>
    <w:p w14:paraId="506D9A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首钢2015年报说明京唐钢铁截至2015年末未满足合并条件，故2015年报未合并京唐；当年合并利润表营业收入为 </w:t>
      </w:r>
      <w:r>
        <w:rPr>
          <w:rStyle w:val="7"/>
        </w:rPr>
        <w:t>178.43亿元</w:t>
      </w:r>
      <w:r>
        <w:t xml:space="preserve">。但2016年报利润表的上期比较数列示2015年营业收入 </w:t>
      </w:r>
      <w:r>
        <w:rPr>
          <w:rStyle w:val="7"/>
        </w:rPr>
        <w:t>363.44亿元</w:t>
      </w:r>
      <w:r>
        <w:t>。这说明跨年合并范围或比较报表口径存在断点，不能直接拼接，也不能认定为PDF抽取错误。</w:t>
      </w:r>
    </w:p>
    <w:p w14:paraId="58CCDA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应保留2015年报原报数和2016年报上期比较数两条记录，查阅2016年报附注，确认比较数的合并范围及是否经过重述；在确认前，不用这两数计算正式同比增速。</w:t>
      </w:r>
    </w:p>
    <w:p w14:paraId="497067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2016、2017年预算目标对应的后续实际收入都高于预算。不过预算范围与法定合并范围尚未核实，因此只能先报告差额，不能据此直接评价管理层预测准确、失信或叙事冲突。</w:t>
      </w:r>
    </w:p>
    <w:p w14:paraId="561797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首钢按旧规则无法出分时，先修复抽取和口径映射，不为首钢单独降低覆盖率、观测数或指数权重。修复后仍不满足门槛，就保留“证据不足”。</w:t>
      </w:r>
    </w:p>
    <w:p w14:paraId="7532D798">
      <w:pPr>
        <w:pStyle w:val="3"/>
        <w:keepNext w:val="0"/>
        <w:keepLines w:val="0"/>
        <w:widowControl/>
        <w:suppressLineNumbers w:val="0"/>
      </w:pPr>
      <w:r>
        <w:t>二、问题一：2015年收入的口径断点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5"/>
        <w:gridCol w:w="1500"/>
        <w:gridCol w:w="4155"/>
      </w:tblGrid>
      <w:tr w14:paraId="7E773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DD07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年报来源</w:t>
            </w:r>
          </w:p>
        </w:tc>
        <w:tc>
          <w:tcPr>
            <w:tcW w:w="0" w:type="auto"/>
            <w:shd w:val="clear"/>
            <w:vAlign w:val="center"/>
          </w:tcPr>
          <w:p w14:paraId="2FBC6C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列示内容</w:t>
            </w:r>
          </w:p>
        </w:tc>
        <w:tc>
          <w:tcPr>
            <w:tcW w:w="0" w:type="auto"/>
            <w:shd w:val="clear"/>
            <w:vAlign w:val="center"/>
          </w:tcPr>
          <w:p w14:paraId="0BA873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营业收入</w:t>
            </w:r>
          </w:p>
        </w:tc>
      </w:tr>
      <w:tr w14:paraId="6B0FA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48FC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2015年报第53页</w:t>
            </w:r>
          </w:p>
        </w:tc>
        <w:tc>
          <w:tcPr>
            <w:tcW w:w="0" w:type="auto"/>
            <w:shd w:val="clear"/>
            <w:vAlign w:val="center"/>
          </w:tcPr>
          <w:p w14:paraId="250F7A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本期营业收入</w:t>
            </w:r>
          </w:p>
        </w:tc>
        <w:tc>
          <w:tcPr>
            <w:tcW w:w="0" w:type="auto"/>
            <w:shd w:val="clear"/>
            <w:vAlign w:val="center"/>
          </w:tcPr>
          <w:p w14:paraId="40927F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17,843,232,849.43元（178.43亿元）</w:t>
            </w:r>
          </w:p>
        </w:tc>
      </w:tr>
      <w:tr w14:paraId="20297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FD98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2016年报第67页</w:t>
            </w:r>
          </w:p>
        </w:tc>
        <w:tc>
          <w:tcPr>
            <w:tcW w:w="0" w:type="auto"/>
            <w:shd w:val="clear"/>
            <w:vAlign w:val="center"/>
          </w:tcPr>
          <w:p w14:paraId="518A8C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上期比较数</w:t>
            </w:r>
          </w:p>
        </w:tc>
        <w:tc>
          <w:tcPr>
            <w:tcW w:w="0" w:type="auto"/>
            <w:shd w:val="clear"/>
            <w:vAlign w:val="center"/>
          </w:tcPr>
          <w:p w14:paraId="3D504B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36,344,215,674.08元（363.44亿元）</w:t>
            </w:r>
          </w:p>
        </w:tc>
      </w:tr>
      <w:tr w14:paraId="267A1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0F5B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2016年报第67页</w:t>
            </w:r>
          </w:p>
        </w:tc>
        <w:tc>
          <w:tcPr>
            <w:tcW w:w="0" w:type="auto"/>
            <w:shd w:val="clear"/>
            <w:vAlign w:val="center"/>
          </w:tcPr>
          <w:p w14:paraId="5A7FA3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本期营业收入</w:t>
            </w:r>
          </w:p>
        </w:tc>
        <w:tc>
          <w:tcPr>
            <w:tcW w:w="0" w:type="auto"/>
            <w:shd w:val="clear"/>
            <w:vAlign w:val="center"/>
          </w:tcPr>
          <w:p w14:paraId="1CC747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41,850,407,993.16元（418.50亿元）</w:t>
            </w:r>
          </w:p>
        </w:tc>
      </w:tr>
    </w:tbl>
    <w:p w14:paraId="7D86446D">
      <w:pPr>
        <w:pStyle w:val="4"/>
        <w:keepNext w:val="0"/>
        <w:keepLines w:val="0"/>
        <w:widowControl/>
        <w:suppressLineNumbers w:val="0"/>
      </w:pPr>
      <w:r>
        <w:t>2015年报第2页说明，京唐钢铁未满足合并条件，因此2015年报未合并其财务报表。2016年报中2015年上期比较数与2015年原报数差异明显，首要判断应是合并范围或比较数据编制口径变化；当前截图不足以确认差额的具体来源，也不足以断言该比较数属于正式追溯重述。</w:t>
      </w:r>
    </w:p>
    <w:p w14:paraId="24045FA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处理规则：</w:t>
      </w:r>
    </w:p>
    <w:p w14:paraId="0723BE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同时保存“2015年报原报数”和“2016年报比较数”，不得互相覆盖。</w:t>
      </w:r>
    </w:p>
    <w:p w14:paraId="0AB08A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为数据记录保留来源报告年度、原报/比较报表版本、合并范围、重述依据、页码及可比性状态。</w:t>
      </w:r>
    </w:p>
    <w:p w14:paraId="71C67A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查阅2016年报企业合并、资产重组和比较数据调整附注，确认363.44亿元的编制基础。</w:t>
      </w:r>
    </w:p>
    <w:p w14:paraId="07F9330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若附注确认比较数按与2016年相同的范围编制，可用其构造后续可比序列，同时保留178.43亿元作为原报事实；否则将2015—2016收入同比标记为“待核验/不可比”。</w:t>
      </w:r>
    </w:p>
    <w:p w14:paraId="4D9EC6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不得直接用178.43亿元与418.50亿元计算增长率并用于诊断、周期正常化或同行比较。</w:t>
      </w:r>
    </w:p>
    <w:p w14:paraId="1E911570">
      <w:pPr>
        <w:pStyle w:val="3"/>
        <w:keepNext w:val="0"/>
        <w:keepLines w:val="0"/>
        <w:widowControl/>
        <w:suppressLineNumbers w:val="0"/>
      </w:pPr>
      <w:r>
        <w:t>三、问题二：预算目标与实际收入的核验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4"/>
        <w:gridCol w:w="2676"/>
        <w:gridCol w:w="2676"/>
        <w:gridCol w:w="1255"/>
        <w:gridCol w:w="915"/>
      </w:tblGrid>
      <w:tr w14:paraId="5AFCB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9D75F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目标年度</w:t>
            </w:r>
          </w:p>
        </w:tc>
        <w:tc>
          <w:tcPr>
            <w:tcW w:w="0" w:type="auto"/>
            <w:shd w:val="clear"/>
            <w:vAlign w:val="center"/>
          </w:tcPr>
          <w:p w14:paraId="46DBB4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年报预算</w:t>
            </w:r>
          </w:p>
        </w:tc>
        <w:tc>
          <w:tcPr>
            <w:tcW w:w="0" w:type="auto"/>
            <w:shd w:val="clear"/>
            <w:vAlign w:val="center"/>
          </w:tcPr>
          <w:p w14:paraId="7F23E6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后续年报实际</w:t>
            </w:r>
          </w:p>
        </w:tc>
        <w:tc>
          <w:tcPr>
            <w:tcW w:w="0" w:type="auto"/>
            <w:shd w:val="clear"/>
            <w:vAlign w:val="center"/>
          </w:tcPr>
          <w:p w14:paraId="45A556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实际减预算</w:t>
            </w:r>
          </w:p>
        </w:tc>
        <w:tc>
          <w:tcPr>
            <w:tcW w:w="0" w:type="auto"/>
            <w:shd w:val="clear"/>
            <w:vAlign w:val="center"/>
          </w:tcPr>
          <w:p w14:paraId="600D50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偏差率</w:t>
            </w:r>
          </w:p>
        </w:tc>
      </w:tr>
      <w:tr w14:paraId="3F15D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E7D1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2016</w:t>
            </w:r>
          </w:p>
        </w:tc>
        <w:tc>
          <w:tcPr>
            <w:tcW w:w="0" w:type="auto"/>
            <w:shd w:val="clear"/>
            <w:vAlign w:val="center"/>
          </w:tcPr>
          <w:p w14:paraId="6155AE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327.01亿元（2015年报第18页）</w:t>
            </w:r>
          </w:p>
        </w:tc>
        <w:tc>
          <w:tcPr>
            <w:tcW w:w="0" w:type="auto"/>
            <w:shd w:val="clear"/>
            <w:vAlign w:val="center"/>
          </w:tcPr>
          <w:p w14:paraId="3ACABF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418.50亿元（2016年报第67页）</w:t>
            </w:r>
          </w:p>
        </w:tc>
        <w:tc>
          <w:tcPr>
            <w:tcW w:w="0" w:type="auto"/>
            <w:shd w:val="clear"/>
            <w:vAlign w:val="center"/>
          </w:tcPr>
          <w:p w14:paraId="35A441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+91.49亿元</w:t>
            </w:r>
          </w:p>
        </w:tc>
        <w:tc>
          <w:tcPr>
            <w:tcW w:w="0" w:type="auto"/>
            <w:shd w:val="clear"/>
            <w:vAlign w:val="center"/>
          </w:tcPr>
          <w:p w14:paraId="5F5F12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+27.98%</w:t>
            </w:r>
          </w:p>
        </w:tc>
      </w:tr>
      <w:tr w14:paraId="388BA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B224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2017</w:t>
            </w:r>
          </w:p>
        </w:tc>
        <w:tc>
          <w:tcPr>
            <w:tcW w:w="0" w:type="auto"/>
            <w:shd w:val="clear"/>
            <w:vAlign w:val="center"/>
          </w:tcPr>
          <w:p w14:paraId="41903D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448.50亿元（2016年报第23页）</w:t>
            </w:r>
          </w:p>
        </w:tc>
        <w:tc>
          <w:tcPr>
            <w:tcW w:w="0" w:type="auto"/>
            <w:shd w:val="clear"/>
            <w:vAlign w:val="center"/>
          </w:tcPr>
          <w:p w14:paraId="253572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602.50亿元（2017年报第67页）</w:t>
            </w:r>
          </w:p>
        </w:tc>
        <w:tc>
          <w:tcPr>
            <w:tcW w:w="0" w:type="auto"/>
            <w:shd w:val="clear"/>
            <w:vAlign w:val="center"/>
          </w:tcPr>
          <w:p w14:paraId="6706E8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+154.00亿元</w:t>
            </w:r>
          </w:p>
        </w:tc>
        <w:tc>
          <w:tcPr>
            <w:tcW w:w="0" w:type="auto"/>
            <w:shd w:val="clear"/>
            <w:vAlign w:val="center"/>
          </w:tcPr>
          <w:p w14:paraId="4DCF9D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+34.34%</w:t>
            </w:r>
          </w:p>
        </w:tc>
      </w:tr>
    </w:tbl>
    <w:p w14:paraId="0D296A04">
      <w:pPr>
        <w:pStyle w:val="4"/>
        <w:keepNext w:val="0"/>
        <w:keepLines w:val="0"/>
        <w:widowControl/>
        <w:suppressLineNumbers w:val="0"/>
      </w:pPr>
      <w:r>
        <w:t>计算公式：偏差率＝（实际收入－预算收入）÷预算收入。</w:t>
      </w:r>
    </w:p>
    <w:p w14:paraId="29DFEB9E">
      <w:pPr>
        <w:pStyle w:val="4"/>
        <w:keepNext w:val="0"/>
        <w:keepLines w:val="0"/>
        <w:widowControl/>
        <w:suppressLineNumbers w:val="0"/>
      </w:pPr>
      <w:r>
        <w:t>截图所列两年实际收入均高于预算。但预算分项简单相加与公司总预算不一致，现有材料不足以确定差异是否来自合并抵销或统计范围。因此，暂时只比较年报明确列示的公司总预算与后续实际总收入，并将匹配状态标为**“范围待核验”**。预算是经营计划或预测，不自动构成保证；范围核清前，不纳入历史兑现度的支持或冲突计分。</w:t>
      </w:r>
    </w:p>
    <w:p w14:paraId="73064F42">
      <w:pPr>
        <w:pStyle w:val="3"/>
        <w:keepNext w:val="0"/>
        <w:keepLines w:val="0"/>
        <w:widowControl/>
        <w:suppressLineNumbers w:val="0"/>
      </w:pPr>
      <w:r>
        <w:t>四、对首钢评分的暂行处理</w:t>
      </w:r>
    </w:p>
    <w:p w14:paraId="4533B7D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检查MD&amp;A中的经营计划、财务预算和风险章节是否被抽取，预算主张是否识别出目标年度。</w:t>
      </w:r>
    </w:p>
    <w:p w14:paraId="7CF056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修复2015年原报数与2016年报上期比较数的版本及合并范围映射。</w:t>
      </w:r>
    </w:p>
    <w:p w14:paraId="0615D0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仅将同期间、同指标、同范围的数据用于主张验证；不符合条件的条目标记“待核验”或“不可验证”，不硬判冲突。</w:t>
      </w:r>
    </w:p>
    <w:p w14:paraId="566C88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修复后重新计算覆盖率和有效观测数。仍未达到门槛时，继续显示“证据不足”，不单独放宽首钢规则。</w:t>
      </w:r>
    </w:p>
    <w:p w14:paraId="5898192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65D900"/>
    <w:multiLevelType w:val="multilevel"/>
    <w:tmpl w:val="2B65D9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C02D9FA"/>
    <w:multiLevelType w:val="multilevel"/>
    <w:tmpl w:val="4C02D9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4DC363EB"/>
    <w:multiLevelType w:val="multilevel"/>
    <w:tmpl w:val="4DC363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500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2026-10-09T04:55:57Z</dcterms:created>
  <dc:creator>T5E2</dc:creator>
  <cp:lastModifiedBy>T5E2</cp:lastModifiedBy>
  <dcterms:modified xsi:type="dcterms:W3CDTF">2026-10-09T04:56:24Z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eyJoZGlkIjoiMTgxZDMwOTkxZGMxZTM5NDgxNTZmZmNmNmY0OGRkODMiLCJ1c2VySWQiOiIxNTEyNzI2OTU4In0=</vt:lpwstr>
  </property>
  <property fmtid="{D5CDD505-2E9C-101B-9397-08002B2CF9AE}" pid="4" name="ICV">
    <vt:lpwstr>F67915EF5B8341D8990FA7F885C8C4F6_12</vt:lpwstr>
  </property>
</Properties>
</file>