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7EA58">
      <w:pPr>
        <w:rPr>
          <w:rFonts w:hint="eastAsia"/>
        </w:rPr>
      </w:pPr>
      <w:bookmarkStart w:id="0" w:name="_GoBack"/>
      <w:r>
        <w:rPr>
          <w:rFonts w:hint="eastAsia"/>
        </w:rPr>
        <w:t># 首钢出分解决方案</w:t>
      </w:r>
    </w:p>
    <w:p w14:paraId="0CF36828">
      <w:pPr>
        <w:rPr>
          <w:rFonts w:hint="eastAsia"/>
        </w:rPr>
      </w:pPr>
    </w:p>
    <w:p w14:paraId="1401A50F">
      <w:pPr>
        <w:rPr>
          <w:rFonts w:hint="eastAsia"/>
        </w:rPr>
      </w:pPr>
      <w:r>
        <w:rPr>
          <w:rFonts w:hint="eastAsia"/>
        </w:rPr>
        <w:t>## 当前状态</w:t>
      </w:r>
    </w:p>
    <w:bookmarkEnd w:id="0"/>
    <w:p w14:paraId="370EDD32">
      <w:pPr>
        <w:rPr>
          <w:rFonts w:hint="eastAsia"/>
        </w:rPr>
      </w:pPr>
    </w:p>
    <w:p w14:paraId="6C9E6619">
      <w:pPr>
        <w:rPr>
          <w:rFonts w:hint="eastAsia"/>
        </w:rPr>
      </w:pPr>
      <w:r>
        <w:rPr>
          <w:rFonts w:hint="eastAsia"/>
        </w:rPr>
        <w:t>首钢覆盖率69/96=0.7188、有效观测69、H=0.428571（7条）、C=0.225806（62条），已通过前四项基础门槛；但P表102行全部待人工确认，R表40格中28格待确认，Q2表2015—2021共7年待复核，因此仍输出 `insufficient_evidence`，不出分。</w:t>
      </w:r>
    </w:p>
    <w:p w14:paraId="36D2D57E">
      <w:pPr>
        <w:rPr>
          <w:rFonts w:hint="eastAsia"/>
        </w:rPr>
      </w:pPr>
    </w:p>
    <w:p w14:paraId="14142498">
      <w:pPr>
        <w:rPr>
          <w:rFonts w:hint="eastAsia"/>
        </w:rPr>
      </w:pPr>
      <w:r>
        <w:rPr>
          <w:rFonts w:hint="eastAsia"/>
        </w:rPr>
        <w:t>## H口径结论</w:t>
      </w:r>
    </w:p>
    <w:p w14:paraId="1030A723">
      <w:pPr>
        <w:rPr>
          <w:rFonts w:hint="eastAsia"/>
        </w:rPr>
      </w:pPr>
    </w:p>
    <w:p w14:paraId="6A28B575">
      <w:pPr>
        <w:rPr>
          <w:rFonts w:hint="eastAsia"/>
        </w:rPr>
      </w:pPr>
      <w:r>
        <w:rPr>
          <w:rFonts w:hint="eastAsia"/>
        </w:rPr>
        <w:t>采用“同一合并范围下，公司总预算—后续实际营业收入”的历史经营计划目标达成度口径。2016年京唐并入过渡年排除，2017年起逐年核验。现有7条观测：2017、2018、2020、2021、2023达成；2019、2022未达成，H=(5-2)/7=0.428571。</w:t>
      </w:r>
    </w:p>
    <w:p w14:paraId="50315C5F">
      <w:pPr>
        <w:rPr>
          <w:rFonts w:hint="eastAsia"/>
        </w:rPr>
      </w:pPr>
    </w:p>
    <w:p w14:paraId="7EB1201A">
      <w:pPr>
        <w:rPr>
          <w:rFonts w:hint="eastAsia"/>
        </w:rPr>
      </w:pPr>
      <w:r>
        <w:rPr>
          <w:rFonts w:hint="eastAsia"/>
        </w:rPr>
        <w:t>2019年实际688.41亿元，预算690.50亿元，偏差约-0.30%。按v1.1明确数值目标不套统一容差，暂判未达成；如需容差必须升版规则，不能个案改判。H页面须显示7条样本及低样本稳健性提示。</w:t>
      </w:r>
    </w:p>
    <w:p w14:paraId="6E4F1C0E">
      <w:pPr>
        <w:rPr>
          <w:rFonts w:hint="eastAsia"/>
        </w:rPr>
      </w:pPr>
    </w:p>
    <w:p w14:paraId="596AF598">
      <w:pPr>
        <w:rPr>
          <w:rFonts w:hint="eastAsia"/>
        </w:rPr>
      </w:pPr>
      <w:r>
        <w:rPr>
          <w:rFonts w:hint="eastAsia"/>
        </w:rPr>
        <w:t>## 合并范围断点</w:t>
      </w:r>
    </w:p>
    <w:p w14:paraId="415A6DCB">
      <w:pPr>
        <w:rPr>
          <w:rFonts w:hint="eastAsia"/>
        </w:rPr>
      </w:pPr>
    </w:p>
    <w:p w14:paraId="21645807">
      <w:pPr>
        <w:rPr>
          <w:rFonts w:hint="eastAsia"/>
        </w:rPr>
      </w:pPr>
      <w:r>
        <w:rPr>
          <w:rFonts w:hint="eastAsia"/>
        </w:rPr>
        <w:t>2016年报说明京唐为同一控制下企业合并，合并日2016年4月30日；京唐上期收入18,500,982,824.65元，加2015年原报收入17,843,232,849.43元，正好等于2016年报比较数36,344,215,674.08元。</w:t>
      </w:r>
    </w:p>
    <w:p w14:paraId="3714175E">
      <w:pPr>
        <w:rPr>
          <w:rFonts w:hint="eastAsia"/>
        </w:rPr>
      </w:pPr>
    </w:p>
    <w:p w14:paraId="390FF3CC">
      <w:pPr>
        <w:rPr>
          <w:rFonts w:hint="eastAsia"/>
        </w:rPr>
      </w:pPr>
      <w:r>
        <w:rPr>
          <w:rFonts w:hint="eastAsia"/>
        </w:rPr>
        <w:t>因此保留原报数和比较数两条事实；2015—2016跨断点同比标记 `non_comparable`，不进分母、不扣分；2016年以后按含京唐范围计算。</w:t>
      </w:r>
    </w:p>
    <w:p w14:paraId="02E1B47D">
      <w:pPr>
        <w:rPr>
          <w:rFonts w:hint="eastAsia"/>
        </w:rPr>
      </w:pPr>
    </w:p>
    <w:p w14:paraId="3CDD1856">
      <w:pPr>
        <w:rPr>
          <w:rFonts w:hint="eastAsia"/>
        </w:rPr>
      </w:pPr>
      <w:r>
        <w:rPr>
          <w:rFonts w:hint="eastAsia"/>
        </w:rPr>
        <w:t>## P表处理</w:t>
      </w:r>
    </w:p>
    <w:p w14:paraId="39AC5FB1">
      <w:pPr>
        <w:rPr>
          <w:rFonts w:hint="eastAsia"/>
        </w:rPr>
      </w:pPr>
    </w:p>
    <w:p w14:paraId="7CDD7DF8">
      <w:pPr>
        <w:rPr>
          <w:rFonts w:hint="eastAsia"/>
        </w:rPr>
      </w:pPr>
      <w:r>
        <w:rPr>
          <w:rFonts w:hint="eastAsia"/>
        </w:rPr>
        <w:t>102行必须逐条填写 `is_substantive`、`is_template`、`missing_elements`、`conclusion`、`reviewer`。模型预判不能直接当结论。行业背景、投资者活动记录碎片不进P分母；公司主体且含经营动作/指标的进入分母；无对象、指标、结果的套话可判 `p_penalty`。任何一行仍为pending，P不完整。</w:t>
      </w:r>
    </w:p>
    <w:p w14:paraId="32469C68">
      <w:pPr>
        <w:rPr>
          <w:rFonts w:hint="eastAsia"/>
        </w:rPr>
      </w:pPr>
    </w:p>
    <w:p w14:paraId="2EEF1A99">
      <w:pPr>
        <w:rPr>
          <w:rFonts w:hint="eastAsia"/>
        </w:rPr>
      </w:pPr>
      <w:r>
        <w:rPr>
          <w:rFonts w:hint="eastAsia"/>
        </w:rPr>
        <w:t>## R表处理</w:t>
      </w:r>
    </w:p>
    <w:p w14:paraId="70A41D3A">
      <w:pPr>
        <w:rPr>
          <w:rFonts w:hint="eastAsia"/>
        </w:rPr>
      </w:pPr>
    </w:p>
    <w:p w14:paraId="2B39ED04">
      <w:pPr>
        <w:rPr>
          <w:rFonts w:hint="eastAsia"/>
        </w:rPr>
      </w:pPr>
      <w:r>
        <w:rPr>
          <w:rFonts w:hint="eastAsia"/>
        </w:rPr>
        <w:t>2015—2021的28格中，24格已有候选，4格缺证据：2015环保及产能、2017需求及钢价、2018流动性及回款、2021流动性及回款，应由会计确认后判 `insufficient`。其余候选必须逐项核对风险对象、作用路径、公司特定指标/事件、缓释措施和页码。主营业务分析来源必须明确标注，不能冒充风险章节；只有风险词频不能判 `sufficient`。</w:t>
      </w:r>
    </w:p>
    <w:p w14:paraId="286CD111">
      <w:pPr>
        <w:rPr>
          <w:rFonts w:hint="eastAsia"/>
        </w:rPr>
      </w:pPr>
    </w:p>
    <w:p w14:paraId="03739572">
      <w:pPr>
        <w:rPr>
          <w:rFonts w:hint="eastAsia"/>
        </w:rPr>
      </w:pPr>
      <w:r>
        <w:rPr>
          <w:rFonts w:hint="eastAsia"/>
        </w:rPr>
        <w:t>## Q2表处理</w:t>
      </w:r>
    </w:p>
    <w:p w14:paraId="35016C7B">
      <w:pPr>
        <w:rPr>
          <w:rFonts w:hint="eastAsia"/>
        </w:rPr>
      </w:pPr>
    </w:p>
    <w:p w14:paraId="5DC3E1AC">
      <w:pPr>
        <w:rPr>
          <w:rFonts w:hint="eastAsia"/>
        </w:rPr>
      </w:pPr>
      <w:r>
        <w:rPr>
          <w:rFonts w:hint="eastAsia"/>
        </w:rPr>
        <w:t>2015—2021的7行候选已填数字和页码，但仍须人工核验并填写复核人。候选如下：</w:t>
      </w:r>
    </w:p>
    <w:p w14:paraId="136F7BA6">
      <w:pPr>
        <w:rPr>
          <w:rFonts w:hint="eastAsia"/>
        </w:rPr>
      </w:pPr>
    </w:p>
    <w:p w14:paraId="31A3A664">
      <w:pPr>
        <w:rPr>
          <w:rFonts w:hint="eastAsia"/>
        </w:rPr>
      </w:pPr>
      <w:r>
        <w:rPr>
          <w:rFonts w:hint="eastAsia"/>
        </w:rPr>
        <w:t>| 年度 | 应收账款账面余额 | 1年以上余额 | 营业收入 | 页码 |</w:t>
      </w:r>
    </w:p>
    <w:p w14:paraId="7C0A4358">
      <w:pPr>
        <w:rPr>
          <w:rFonts w:hint="eastAsia"/>
        </w:rPr>
      </w:pPr>
      <w:r>
        <w:rPr>
          <w:rFonts w:hint="eastAsia"/>
        </w:rPr>
        <w:t>|---|---:|---:|---:|---:|</w:t>
      </w:r>
    </w:p>
    <w:p w14:paraId="20AFE569">
      <w:pPr>
        <w:rPr>
          <w:rFonts w:hint="eastAsia"/>
        </w:rPr>
      </w:pPr>
      <w:r>
        <w:rPr>
          <w:rFonts w:hint="eastAsia"/>
        </w:rPr>
        <w:t>| 2015 | 440,643,151.47 | 113,240,309.86 | 17,843,232,849.43 | 84 |</w:t>
      </w:r>
    </w:p>
    <w:p w14:paraId="779DD4E1">
      <w:pPr>
        <w:rPr>
          <w:rFonts w:hint="eastAsia"/>
        </w:rPr>
      </w:pPr>
      <w:r>
        <w:rPr>
          <w:rFonts w:hint="eastAsia"/>
        </w:rPr>
        <w:t>| 2016 | 1,035,135,309.74 | 99,509,595.13 | 41,850,407,993.16 | 96 |</w:t>
      </w:r>
    </w:p>
    <w:p w14:paraId="18E9F8CA">
      <w:pPr>
        <w:rPr>
          <w:rFonts w:hint="eastAsia"/>
        </w:rPr>
      </w:pPr>
      <w:r>
        <w:rPr>
          <w:rFonts w:hint="eastAsia"/>
        </w:rPr>
        <w:t>| 2017 | 1,398,869,416.28 | 87,378,292.45 | 60,250,154,291.48 | 100 |</w:t>
      </w:r>
    </w:p>
    <w:p w14:paraId="69056280">
      <w:pPr>
        <w:rPr>
          <w:rFonts w:hint="eastAsia"/>
        </w:rPr>
      </w:pPr>
      <w:r>
        <w:rPr>
          <w:rFonts w:hint="eastAsia"/>
        </w:rPr>
        <w:t>| 2018 | 918,190,578.96 | 52,178,208.02 | 65,776,660,538.90 | 102 |</w:t>
      </w:r>
    </w:p>
    <w:p w14:paraId="705EBFB0">
      <w:pPr>
        <w:rPr>
          <w:rFonts w:hint="eastAsia"/>
        </w:rPr>
      </w:pPr>
      <w:r>
        <w:rPr>
          <w:rFonts w:hint="eastAsia"/>
        </w:rPr>
        <w:t>| 2019 | 875,354,245.63 | 17,192,505.42 | 68,841,307,821.91 | 107 |</w:t>
      </w:r>
    </w:p>
    <w:p w14:paraId="0446F8DA">
      <w:pPr>
        <w:rPr>
          <w:rFonts w:hint="eastAsia"/>
        </w:rPr>
      </w:pPr>
      <w:r>
        <w:rPr>
          <w:rFonts w:hint="eastAsia"/>
        </w:rPr>
        <w:t>| 2020 | 1,493,206,998.95 | 24,386,572.03 | 79,951,181,948.10 | 118 |</w:t>
      </w:r>
    </w:p>
    <w:p w14:paraId="1A0AE225">
      <w:pPr>
        <w:rPr>
          <w:rFonts w:hint="eastAsia"/>
        </w:rPr>
      </w:pPr>
      <w:r>
        <w:rPr>
          <w:rFonts w:hint="eastAsia"/>
        </w:rPr>
        <w:t>| 2021 | 1,756,801,638.73 | 21,903,779.72 | 134,034,486,136.13 | 126 |</w:t>
      </w:r>
    </w:p>
    <w:p w14:paraId="3E74C68B">
      <w:pPr>
        <w:rPr>
          <w:rFonts w:hint="eastAsia"/>
        </w:rPr>
      </w:pPr>
    </w:p>
    <w:p w14:paraId="4C961449">
      <w:pPr>
        <w:rPr>
          <w:rFonts w:hint="eastAsia"/>
        </w:rPr>
      </w:pPr>
      <w:r>
        <w:rPr>
          <w:rFonts w:hint="eastAsia"/>
        </w:rPr>
        <w:t>DSO=平均应收账款账面余额/营业收入×365；账龄占比=1年以上余额/账面余额。只有DSO同比增加超过10天且账龄占比增加超过0.5个百分点才触发Q2。未复核不等于未触发，不得填0。</w:t>
      </w:r>
    </w:p>
    <w:p w14:paraId="0C10FE08">
      <w:pPr>
        <w:rPr>
          <w:rFonts w:hint="eastAsia"/>
        </w:rPr>
      </w:pPr>
    </w:p>
    <w:p w14:paraId="416BA532">
      <w:pPr>
        <w:rPr>
          <w:rFonts w:hint="eastAsia"/>
        </w:rPr>
      </w:pPr>
      <w:r>
        <w:rPr>
          <w:rFonts w:hint="eastAsia"/>
        </w:rPr>
        <w:t>## 最短执行路径</w:t>
      </w:r>
    </w:p>
    <w:p w14:paraId="2C58B65B">
      <w:pPr>
        <w:rPr>
          <w:rFonts w:hint="eastAsia"/>
        </w:rPr>
      </w:pPr>
    </w:p>
    <w:p w14:paraId="337FBFDC">
      <w:pPr>
        <w:rPr>
          <w:rFonts w:hint="eastAsia"/>
        </w:rPr>
      </w:pPr>
      <w:r>
        <w:rPr>
          <w:rFonts w:hint="eastAsia"/>
        </w:rPr>
        <w:t>1. 会计签字确认H口径和2019年判定。</w:t>
      </w:r>
    </w:p>
    <w:p w14:paraId="191E2F2B">
      <w:pPr>
        <w:rPr>
          <w:rFonts w:hint="eastAsia"/>
        </w:rPr>
      </w:pPr>
      <w:r>
        <w:rPr>
          <w:rFonts w:hint="eastAsia"/>
        </w:rPr>
        <w:t>2. 逐条完成P表102行。</w:t>
      </w:r>
    </w:p>
    <w:p w14:paraId="39E4E99E">
      <w:pPr>
        <w:rPr>
          <w:rFonts w:hint="eastAsia"/>
        </w:rPr>
      </w:pPr>
      <w:r>
        <w:rPr>
          <w:rFonts w:hint="eastAsia"/>
        </w:rPr>
        <w:t>3. 复核R表24个候选，确认4个缺证据格。</w:t>
      </w:r>
    </w:p>
    <w:p w14:paraId="5C6230E6">
      <w:pPr>
        <w:rPr>
          <w:rFonts w:hint="eastAsia"/>
        </w:rPr>
      </w:pPr>
      <w:r>
        <w:rPr>
          <w:rFonts w:hint="eastAsia"/>
        </w:rPr>
        <w:t>4. 复核Q2表7行，填 `validated` 和 `reviewer`。</w:t>
      </w:r>
    </w:p>
    <w:p w14:paraId="1D58F2FC">
      <w:pPr>
        <w:rPr>
          <w:rFonts w:hint="eastAsia"/>
        </w:rPr>
      </w:pPr>
      <w:r>
        <w:rPr>
          <w:rFonts w:hint="eastAsia"/>
        </w:rPr>
        <w:t>5. 导入数据库、运行校验并重算指数。</w:t>
      </w:r>
    </w:p>
    <w:p w14:paraId="7787C41C">
      <w:pPr>
        <w:rPr>
          <w:rFonts w:hint="eastAsia"/>
        </w:rPr>
      </w:pPr>
    </w:p>
    <w:p w14:paraId="4386947F">
      <w:pPr>
        <w:rPr>
          <w:rFonts w:hint="eastAsia"/>
        </w:rPr>
      </w:pPr>
      <w:r>
        <w:rPr>
          <w:rFonts w:hint="eastAsia"/>
        </w:rPr>
        <w:t>不得降低首钢评分门槛，不得把缺失值当作未触发，不得伪造指数分数。</w:t>
      </w:r>
    </w:p>
    <w:p w14:paraId="341F13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511215"/>
    <w:rsid w:val="5051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2026-10-10T11:36:00Z</dcterms:created>
  <dc:creator>T5E2</dc:creator>
  <cp:lastModifiedBy>T5E2</cp:lastModifiedBy>
  <dcterms:modified xsi:type="dcterms:W3CDTF">2026-10-10T11:36:52Z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FEB592297EBA413081D1F3AA053379ED_11</vt:lpwstr>
  </property>
  <property fmtid="{D5CDD505-2E9C-101B-9397-08002B2CF9AE}" pid="4" name="KSOTemplateDocerSaveRecord">
    <vt:lpwstr>eyJoZGlkIjoiMTgxZDMwOTkxZGMxZTM5NDgxNTZmZmNmNmY0OGRkODMiLCJ1c2VySWQiOiIxNTEyNzI2OTU4In0=</vt:lpwstr>
  </property>
</Properties>
</file>