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color w:val="0B2545"/>
          <w:sz w:val="46"/>
        </w:rPr>
        <w:t>附加项新定价配置说明</w:t>
      </w:r>
    </w:p>
    <w:p>
      <w:pPr>
        <w:spacing w:before="0" w:after="200" w:line="276" w:lineRule="auto"/>
      </w:pPr>
      <w:r>
        <w:rPr>
          <w:rFonts w:ascii="Microsoft YaHei" w:hAnsi="Microsoft YaHei" w:eastAsia="Microsoft YaHei"/>
          <w:color w:val="475569"/>
          <w:sz w:val="23"/>
        </w:rPr>
        <w:t>按上架国家与会员等级维护附加项服务定价 | 2026-05-26</w:t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一、变更概述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普通附加项的新增、编辑入口及基础资料字段保持原有逻辑不变。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新增定价维护维度：上架国家、附加项类型、服务项、适用会员等级、计费方式、成本价、客户价、状态与排序。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同一附加项可在不同国家、不同会员等级下维护独立客户价。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前台按当前站点国家和登录账号会员等级过滤展示；未配置、未启用或会员等级不匹配的附加项不展示、不可选。</w:t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二、核心定价规则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c>
          <w:tcPr>
            <w:tcW w:type="dxa" w:w="5103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配置维度</w:t>
            </w:r>
          </w:p>
        </w:tc>
        <w:tc>
          <w:tcPr>
            <w:tcW w:type="dxa" w:w="5103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规则说明</w:t>
            </w:r>
          </w:p>
        </w:tc>
        <w:tc>
          <w:tcPr>
            <w:tcW w:type="dxa" w:w="5103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前台影响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上架国家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普通附加项仍在基础资料中选择上架国家，进入对应国家后再维护定价。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客户所在站点国家未覆盖时，不展示该附加项。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会员等级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在国家定价中选择适用等级，如一般会员、VIP会员、企业会员。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仅当前会员等级匹配的客户可见、可选。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价格配置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按计费方式维护成本价与客户价，支持普通计费、起订量、按套、按时、面议、阶梯价、仓储等方式。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前台展示该等级对应的客户价。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状态配置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应用状态控制是否可使用，记录状态控制该定价是否启用。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禁用或不可用的记录不进入前台选择范围。</w:t>
            </w:r>
          </w:p>
        </w:tc>
      </w:tr>
      <w:tr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通用价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如系统允许适用等级留空，可作为通用价格；若要严格按等级区分，应分别配置各等级价格。</w:t>
            </w:r>
          </w:p>
        </w:tc>
        <w:tc>
          <w:tcPr>
            <w:tcW w:type="dxa" w:w="510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避免通用价覆盖精细化会员价预期。</w:t>
            </w:r>
          </w:p>
        </w:tc>
      </w:tr>
    </w:tbl>
    <w:p>
      <w:r>
        <w:br w:type="page"/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三、配置流程图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392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附加项新定价_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92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四、操作步骤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1. 维护普通附加项基础资料：</w:t>
      </w:r>
      <w:r>
        <w:rPr>
          <w:rFonts w:ascii="Microsoft YaHei" w:hAnsi="Microsoft YaHei" w:eastAsia="Microsoft YaHei"/>
          <w:sz w:val="21"/>
        </w:rPr>
        <w:t>进入 B2B系统 &gt; 附加项 &gt; 普通附加项，新增或编辑附加项名称、分类、应用场景、计费单位等字段。此部分功能保持原有逻辑。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2. 选择上架国家：</w:t>
      </w:r>
      <w:r>
        <w:rPr>
          <w:rFonts w:ascii="Microsoft YaHei" w:hAnsi="Microsoft YaHei" w:eastAsia="Microsoft YaHei"/>
          <w:sz w:val="21"/>
        </w:rPr>
        <w:t>在附加项基础资料中选择上架国家。一个附加项可以覆盖多个国家，后续需要分别进入国家定价维护价格。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3. 进入全球服务定价：</w:t>
      </w:r>
      <w:r>
        <w:rPr>
          <w:rFonts w:ascii="Microsoft YaHei" w:hAnsi="Microsoft YaHei" w:eastAsia="Microsoft YaHei"/>
          <w:sz w:val="21"/>
        </w:rPr>
        <w:t>在 附加项 &gt; 全球服务定价 中选择目标国家并点击编辑，进入该国家的质检定价和附加项定价页面。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4. 新增或编辑附加项定价：</w:t>
      </w:r>
      <w:r>
        <w:rPr>
          <w:rFonts w:ascii="Microsoft YaHei" w:hAnsi="Microsoft YaHei" w:eastAsia="Microsoft YaHei"/>
          <w:sz w:val="21"/>
        </w:rPr>
        <w:t>在附加项定价页选择商品附加项或发货附加项，点击新增定价，选择服务项、适用等级、计费方式、价格、状态和排序。</w:t>
      </w:r>
    </w:p>
    <w:p>
      <w:pPr>
        <w:spacing w:before="0" w:after="100" w:line="276" w:lineRule="auto"/>
      </w:pPr>
      <w:r>
        <w:rPr>
          <w:rFonts w:ascii="Microsoft YaHei" w:hAnsi="Microsoft YaHei" w:eastAsia="Microsoft YaHei"/>
          <w:b/>
          <w:sz w:val="21"/>
        </w:rPr>
        <w:t>5. 前台展示校验：</w:t>
      </w:r>
      <w:r>
        <w:rPr>
          <w:rFonts w:ascii="Microsoft YaHei" w:hAnsi="Microsoft YaHei" w:eastAsia="Microsoft YaHei"/>
          <w:sz w:val="21"/>
        </w:rPr>
        <w:t>使用对应会员等级账号进入购物车附加项选择页，确认可见附加项和会员价正确；非对应等级账号不应看到未配置的附加项。</w:t>
      </w:r>
    </w:p>
    <w:p>
      <w:r>
        <w:br w:type="page"/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五、关键界面示意</w:t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1 普通附加项新增入口与基础资料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980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98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2 选择附加项上架国家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48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4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3 全球服务定价国家列表入口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83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8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4 新增/编辑国家下的商品附加项服务定价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2863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28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5 选择适用会员等级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296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29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6 按会员等级筛选后产生对应附加项定价记录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16346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63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7 VIP 会员前台可选择已配置附加项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6799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7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76" w:lineRule="auto"/>
        <w:jc w:val="center"/>
      </w:pPr>
      <w:r>
        <w:rPr>
          <w:rFonts w:ascii="Microsoft YaHei" w:hAnsi="Microsoft YaHei" w:eastAsia="Microsoft YaHei"/>
          <w:b/>
          <w:color w:val="334155"/>
          <w:sz w:val="19"/>
        </w:rPr>
        <w:t>图 8 一般会员未配置该等级定价时不展示该附加项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319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31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00" w:line="276" w:lineRule="auto"/>
      </w:pPr>
      <w:r>
        <w:rPr>
          <w:rFonts w:ascii="Microsoft YaHei" w:hAnsi="Microsoft YaHei" w:eastAsia="Microsoft YaHei"/>
          <w:b/>
          <w:color w:val="1D4ED8"/>
          <w:sz w:val="30"/>
        </w:rPr>
        <w:t>六、验收要点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新增普通附加项后，基础资料保存、编辑和上架国家选择均可正常使用。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每个启用国家都可以进入全球服务定价页面并维护附加项定价。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同一国家、同一服务项可按不同会员等级维护不同客户价。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前台 VIP 账号可以看到已配置 VIP 等级的附加项及对应价格。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前台一般会员账号无法看到仅配置给 VIP 的附加项。</w:t>
      </w:r>
    </w:p>
    <w:p>
      <w:pPr>
        <w:pStyle w:val="ListBullet"/>
        <w:spacing w:before="0" w:after="80" w:line="276" w:lineRule="auto"/>
        <w:ind w:left="369" w:hanging="170"/>
      </w:pPr>
      <w:r>
        <w:rPr>
          <w:rFonts w:ascii="Microsoft YaHei" w:hAnsi="Microsoft YaHei" w:eastAsia="Microsoft YaHei"/>
          <w:sz w:val="21"/>
        </w:rPr>
        <w:t>禁用、不可用或记录状态未启用的定价不在前台展示。</w:t>
      </w:r>
    </w:p>
    <w:p>
      <w:pPr>
        <w:spacing w:before="120" w:after="100" w:line="276" w:lineRule="auto"/>
      </w:pPr>
      <w:r>
        <w:rPr>
          <w:rFonts w:ascii="Microsoft YaHei" w:hAnsi="Microsoft YaHei" w:eastAsia="Microsoft YaHei"/>
          <w:b/>
          <w:color w:val="0F172A"/>
          <w:sz w:val="24"/>
        </w:rPr>
        <w:t>配置提示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sz w:val="21"/>
        </w:rPr>
        <w:t>新增国家、会员等级或服务项后，需要补齐对应国家下的附加项定价；如仅配置 VIP 等级，普通会员前台不应展示该附加项。</w:t>
      </w:r>
    </w:p>
    <w:sectPr w:rsidR="00FC693F" w:rsidRPr="0006063C" w:rsidSect="00034616">
      <w:headerReference w:type="default" r:id="rId9"/>
      <w:pgSz w:w="16838" w:h="11906" w:orient="landscape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4748B"/>
        <w:sz w:val="17"/>
      </w:rPr>
      <w:t>附加项新定价配置说明 | 优化版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