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地下水管理转型背景下白洋淀湿地退化风险演变驱动重组与非线性响应"/>
    <w:p>
      <w:pPr>
        <w:pStyle w:val="Heading1"/>
      </w:pPr>
      <w:r>
        <w:t xml:space="preserve">地下水管理转型背景下白洋淀湿地退化风险演变、驱动重组与非线性响应</w:t>
      </w:r>
    </w:p>
    <w:p>
      <w:pPr>
        <w:pStyle w:val="BlockText"/>
      </w:pPr>
      <w:r>
        <w:t xml:space="preserve">稿件状态：按作者指定目录形成的中文重构稿。题目中的“驱动”指模型解释贡献，不作生态因果解释；</w:t>
      </w:r>
      <w:r>
        <w:t xml:space="preserve">“</w:t>
      </w:r>
      <w:r>
        <w:t xml:space="preserve">贡献重组</w:t>
      </w:r>
      <w:r>
        <w:t xml:space="preserve">”</w:t>
      </w:r>
      <w:r>
        <w:t xml:space="preserve">须经五阶段实际计算后方可作为最终结论。正文保留3个核心结果插入位，分别对应逐网格分量分解、风险下降与危险性持续的空间并存、五阶段贡献比较。这些数值必须由原始栅格或样本计算，不能从论文图件反推。其余数值来自博士论文现有结果，并按作者确认纠正负向标准化公式与REL方向。</w:t>
      </w:r>
    </w:p>
    <w:bookmarkStart w:id="20" w:name="摘要"/>
    <w:p>
      <w:pPr>
        <w:pStyle w:val="Heading2"/>
      </w:pPr>
      <w:r>
        <w:t xml:space="preserve">摘要</w:t>
      </w:r>
    </w:p>
    <w:p>
      <w:pPr>
        <w:pStyle w:val="FirstParagraph"/>
      </w:pPr>
      <w:r>
        <w:t xml:space="preserve">地下水超采治理、农业节水、水源置换与生态补水可通过不同路径改变湿地水文环境，综合风险降低因而未必意味着外部压力同步缓解。为识别风险改善的具体含义，本研究以白洋淀流域平原区为对象，整合1980—2022年10期土地利用、气候、水文与人类活动资料，构建由危险性（H）和脆弱性（V）组成的湿地退化风险指数（WDRI=H×V），并将风险演变置于五个湿地萎缩—恢复阶段及持续的地下水管理转型中分析。研究比较H、V与WDRI的时空轨迹，提出基于乘积恒等式的逐网格变化分解，以区分危险性变化和脆弱性变化对综合风险变化的指标贡献；同时采用XGBoost和SHAP考察地下水埋深在不同水热与植被背景下的条件响应。现有结果显示，H、V和WDRI并不同步：2000年后危险性高值斑块局部扩展，2020年回落后于2022年再次增强；脆弱性高值区则在2010年后持续收缩。最高两级风险区由2000年的2036 km²（15.49%）降至2022年的17 km²（0.13%），2022年较低—低风险区占评价范围的98.37%，但这一格局不能单独证明水文压力已普遍解除。随机划分下XGBoost的测试集R²为0.86；地下水埋深的SHAP响应在约14.78 m附近发生斜率调整，且随水热背景和空间位置而异。该数值反映模型响应的统计转折，而非经生态观测验证的安全水位。现有结果表明，管理成效评价需要同时报告综合风险及其组成分量，并进一步核查低WDRI区内危险性是否仍然持续。逐网格分量分解有助于识别乘积型指标可能弱化的局地压力，并为地下水—湿地协同管理提供可核验的指标解释路径。</w:t>
      </w:r>
    </w:p>
    <w:p>
      <w:pPr>
        <w:pStyle w:val="BodyText"/>
      </w:pPr>
      <w:r>
        <w:t xml:space="preserve">关键词：湿地退化风险；地下水管理转型；危险性—脆弱性分解；指标解释；非线性响应；白洋淀</w:t>
      </w:r>
    </w:p>
    <w:bookmarkEnd w:id="20"/>
    <w:bookmarkStart w:id="21" w:name="引言"/>
    <w:p>
      <w:pPr>
        <w:pStyle w:val="Heading2"/>
      </w:pPr>
      <w:r>
        <w:t xml:space="preserve">1 引言</w:t>
      </w:r>
    </w:p>
    <w:p>
      <w:pPr>
        <w:pStyle w:val="FirstParagraph"/>
      </w:pPr>
      <w:r>
        <w:t xml:space="preserve">地下水超采区的湿地修复通常同时依赖压采控采、农业节水、水源置换和生态补水。这些措施作用于水循环的不同环节：生态补水能够较快改变河湖来水和湿地淹水条件，压采与水源置换则通过减少地下水排泄影响含水层亏损和地下水位。不同过程的响应速度、作用范围与持续时间并不一致。因此，湿地面积增加、植被状态改善和地下水压力缓解可能呈现不同节奏。若生态指标不能区分这些变化，综合评价结果就难以说明修复成效来自何种过程，也难以识别仍需治理的压力。</w:t>
      </w:r>
    </w:p>
    <w:p>
      <w:pPr>
        <w:pStyle w:val="BodyText"/>
      </w:pPr>
      <w:r>
        <w:t xml:space="preserve">危险性—脆弱性框架将外部压力与生态系统易损状态纳入同一评价体系，已用于典型湿地和区域生态风险研究[1—3]。其中，危险性刻画气候、水文和人类活动压力，脆弱性表征生态功能、景观结构与植被状态。该框架有利于整合多源空间信息，但综合指标的下降并不唯一对应危险性减轻。对于乘积型指标R=H×V，当V下降幅度超过H上升幅度时，R仍可下降。若只报告风险等级面积，就可能把脆弱性改善与外部压力缓解视为同一过程，并忽略低综合风险区内部仍然存在的水文或用水压力。</w:t>
      </w:r>
    </w:p>
    <w:p>
      <w:pPr>
        <w:pStyle w:val="BodyText"/>
      </w:pPr>
      <w:r>
        <w:t xml:space="preserve">风险指标的机器学习解释还存在同源性问题。当地下水埋深、降水、潜在蒸散发、径流、灌溉用水、气温和NDVI既参与WDRI构建，又作为预测变量进入模型时，预测精度主要衡量模型对既定指标的重建能力。相应的SHAP贡献同时包含指标定义、变量相关结构和样本环境关联，不能直接等同于独立生态驱动或管理措施的因果效应。H与V的乘积还会在指标中预先引入跨分量变量的非加和关系。因此，非线性曲线和交互效应只有在明确指标构造的前提下，才能用于提出生态过程假设；若要转化为控制阈值，还需要未参与指标构建的生态观测验证。</w:t>
      </w:r>
    </w:p>
    <w:p>
      <w:pPr>
        <w:pStyle w:val="BodyText"/>
      </w:pPr>
      <w:r>
        <w:t xml:space="preserve">白洋淀及其流域平原区兼具长期地下水开发、集约农业和湿地修复需求，为分析综合风险及其分量变化提供了典型情境。1980—1985年，受上游水库调水及降水减少影响，白洋淀局地湿地快速萎缩；1985—1995年，随山区水库补水恢复，湿地面积回升；1995—2005年和2005—2015年，湿地先后再次缩减并持续缩减；2018—2022年，多水源补水和较丰沛降水共同支持后期恢复。2012年管理制度启动、2014年底南水北调中线向区域供水及2015年后综合治理，是长期开发—治理过程中的重要节点，但不能替代对五个历史阶段及其水文背景的分析。</w:t>
      </w:r>
    </w:p>
    <w:p>
      <w:pPr>
        <w:pStyle w:val="BodyText"/>
      </w:pPr>
      <w:r>
        <w:t xml:space="preserve">本研究不把新的算法组合作为主要贡献，而是围绕综合指标的生态含义回答三个问题：（1）危险性、脆弱性与WDRI在1980—2022年是否同步变化；（2）综合风险下降分别由危险性变化和脆弱性变化贡献多少，哪些地区出现风险下降而危险性未降；（3）在承认指标同源性的前提下，地下水埋深的模型响应如何随水热和生态背景改变，其统计转折能够支持何种管理判断。研究旨在将“风险是否下降”推进为“风险为何下降、哪些压力仍然存在”，从而提高综合生态指标在地下水—湿地协同管理中的可解释性。</w:t>
      </w:r>
    </w:p>
    <w:bookmarkEnd w:id="21"/>
    <w:bookmarkStart w:id="29" w:name="材料与方法"/>
    <w:p>
      <w:pPr>
        <w:pStyle w:val="Heading2"/>
      </w:pPr>
      <w:r>
        <w:t xml:space="preserve">2 材料与方法</w:t>
      </w:r>
    </w:p>
    <w:bookmarkStart w:id="22" w:name="研究区概况"/>
    <w:p>
      <w:pPr>
        <w:pStyle w:val="Heading3"/>
      </w:pPr>
      <w:r>
        <w:t xml:space="preserve">2.1 研究区概况</w:t>
      </w:r>
    </w:p>
    <w:p>
      <w:pPr>
        <w:pStyle w:val="FirstParagraph"/>
      </w:pPr>
      <w:r>
        <w:t xml:space="preserve">研究区为白洋淀流域平原区，地处华北平原和海河流域大清河水系。地势总体由西北向东南降低，西部山前地带向中东部低平平原及白洋淀过渡。1960—2022年多年平均气温约12.3 ℃，多年平均降水量约526 mm，约70%的降水集中于6—9月。区域以耕地和建设用地为主要景观基质，河渠、湖泊、滩地、水库坑塘和沼泽地构成主要湿地类型。长期农业和城镇取水改变了地下水流场，也增强了湿地对上游来水与人工补水的依赖。</w:t>
      </w:r>
    </w:p>
    <w:bookmarkEnd w:id="22"/>
    <w:bookmarkStart w:id="23" w:name="地下水开发利用与管理转型背景"/>
    <w:p>
      <w:pPr>
        <w:pStyle w:val="Heading3"/>
      </w:pPr>
      <w:r>
        <w:t xml:space="preserve">2.2 地下水开发利用与管理转型背景</w:t>
      </w:r>
    </w:p>
    <w:p>
      <w:pPr>
        <w:pStyle w:val="FirstParagraph"/>
      </w:pPr>
      <w:r>
        <w:t xml:space="preserve">地下水开发由早期浅层低强度利用逐步转向深浅层共同开发，1996—2012年超采压力进一步积累。2012年以后，严格管理、节水压采、水源置换和生态补水陆续推进；南水北调中线自2014年底向区域供水，2015年后地下水超采综合治理进一步强化。本文将上述制度与工程节点嵌入长期过程解释，不将2012年作为唯一断点，也不将风险变化直接归因于单项政策。</w:t>
      </w:r>
    </w:p>
    <w:p>
      <w:pPr>
        <w:pStyle w:val="BodyText"/>
      </w:pPr>
      <w:r>
        <w:t xml:space="preserve">白洋淀局地湿地历史被划分为五个阶段：1980—1985年快速萎缩、1985—1995年补水恢复、1995—2005年再次缩减、2005—2015年持续缩减、2018—2022年后期恢复。既有统计显示，第一阶段湿地面积较1980年减少94.68%，第二阶段恢复至1980年水平的87.23%；2005年较1995年减少10.30%，2015年局地湿地面积降至268.75 km²，2018—2022年恢复并维持在1980年水平的约70%。这些数值用于描述白洋淀局地历史，其空间范围与流域平原区WDRI评价范围不同，分析中不相互替代。</w:t>
      </w:r>
    </w:p>
    <w:bookmarkEnd w:id="23"/>
    <w:bookmarkStart w:id="24" w:name="数据来源与预处理"/>
    <w:p>
      <w:pPr>
        <w:pStyle w:val="Heading3"/>
      </w:pPr>
      <w:r>
        <w:t xml:space="preserve">2.3 数据来源与预处理</w:t>
      </w:r>
    </w:p>
    <w:p>
      <w:pPr>
        <w:pStyle w:val="FirstParagraph"/>
      </w:pPr>
      <w:r>
        <w:t xml:space="preserve">风险评价使用1980、1985、1990、1995、2000、2005、2010、2015、2020和2022年10期典型年数据。土地利用资料用于提取湿地类型并计算人为干扰、生境质量、水文调节、湿地面积和景观结构指标；气温、降水、潜在蒸散发、NDVI和夜间灯光来自相应的长期空间数据产品；农业用水结合水资源统计与分部门用水栅格资料；高程用于派生坡度。地下水埋深、径流和土壤水分相关变量来自既有SWAT—MODFLOW耦合模拟。模型运行期为1980年1月至2022年12月，采用1 km网格和月尺度应力期，并将水文响应单元与地下水网格进行空间映射。</w:t>
      </w:r>
    </w:p>
    <w:p>
      <w:pPr>
        <w:pStyle w:val="BodyText"/>
      </w:pPr>
      <w:r>
        <w:t xml:space="preserve">全部变量统一至1 km评价网格，以稳定网格编号完成跨年匹配。连续变量与类别变量分别采用适宜的重采样方法，年度或典型年统计保持一致的时间聚合口径。跨期分析仅使用各期共同有效网格；白洋淀局地湿地范围、核心湿地范围和流域平原区分别设置掩膜，以检验统计分母对结果的影响。早期夜间灯光、NDVI的时间覆盖与重建方式，土壤水分变量VSW的物理定义和单位，在投稿前依据原始元数据列入数据表。</w:t>
      </w:r>
    </w:p>
    <w:p>
      <w:pPr>
        <w:pStyle w:val="BodyText"/>
      </w:pPr>
      <w:r>
        <w:t xml:space="preserve">五阶段用于组织历史背景和结果解释，不被视为数据自动识别出的统计断点。由于现有WDRI只有10期，每阶段仅对应约2个典型年份，阶段内空间样本不能替代时间重复。本文优先报告逐年或相邻期变化，再按五阶段汇总方向和贡献；2015—2018年没有WDRI观测，不插值生成阶段结果。</w:t>
      </w:r>
    </w:p>
    <w:bookmarkEnd w:id="24"/>
    <w:bookmarkStart w:id="28" w:name="研究方法"/>
    <w:p>
      <w:pPr>
        <w:pStyle w:val="Heading3"/>
      </w:pPr>
      <w:r>
        <w:t xml:space="preserve">2.4 研究方法</w:t>
      </w:r>
    </w:p>
    <w:bookmarkStart w:id="25" w:name="湿地退化风险指数构建"/>
    <w:p>
      <w:pPr>
        <w:pStyle w:val="Heading4"/>
      </w:pPr>
      <w:r>
        <w:t xml:space="preserve">2.4.1 湿地退化风险指数构建</w:t>
      </w:r>
    </w:p>
    <w:p>
      <w:pPr>
        <w:pStyle w:val="FirstParagraph"/>
      </w:pPr>
      <w:r>
        <w:t xml:space="preserve">危险性H由人为干扰度（HI）、农业灌溉用水量（IRR）、地下水埋深（GWD）、径流深（Runoff）、夜间灯光（NLD）、降水（PRE）、潜在蒸散发（PET）和气温（TMP）构成。脆弱性V由生境质量（EQI）、水文调节指数（WI）、景观结构风险指数（REL）、湿地面积（WA）和NDVI构成。正向和负向指标分别按式（1）和式（2）标准化：</w:t>
      </w:r>
    </w:p>
    <w:p>
      <w:pPr>
        <w:pStyle w:val="BodyText"/>
      </w:pPr>
      <m:oMathPara>
        <m:oMathParaPr>
          <m:jc m:val="center"/>
        </m:oMathParaPr>
        <m:oMath>
          <m:sSubSup>
            <m:e>
              <m:r>
                <m:t>z</m:t>
              </m:r>
            </m:e>
            <m:sub>
              <m:r>
                <m:t>j</m:t>
              </m:r>
            </m:sub>
            <m:sup>
              <m:r>
                <m:rPr>
                  <m:sty m:val="p"/>
                </m:rPr>
                <m:t>+</m:t>
              </m:r>
            </m:sup>
          </m:sSubSup>
          <m:r>
            <m:rPr>
              <m:sty m:val="p"/>
            </m:rPr>
            <m:t>=</m:t>
          </m:r>
          <m:f>
            <m:fPr>
              <m:type m:val="bar"/>
            </m:fPr>
            <m:num>
              <m:sSub>
                <m:e>
                  <m:r>
                    <m:t>x</m:t>
                  </m:r>
                </m:e>
                <m:sub>
                  <m:r>
                    <m:t>j</m:t>
                  </m:r>
                </m:sub>
              </m:sSub>
              <m:r>
                <m:rPr>
                  <m:sty m:val="p"/>
                </m:rPr>
                <m:t>−</m:t>
              </m:r>
              <m:sSub>
                <m:e>
                  <m:r>
                    <m:t>x</m:t>
                  </m:r>
                </m:e>
                <m:sub>
                  <m:r>
                    <m:t>j</m:t>
                  </m:r>
                  <m:r>
                    <m:rPr>
                      <m:sty m:val="p"/>
                    </m:rPr>
                    <m:t>,</m:t>
                  </m:r>
                  <m:r>
                    <m:rPr>
                      <m:sty m:val="p"/>
                    </m:rPr>
                    <m:t>min</m:t>
                  </m:r>
                </m:sub>
              </m:sSub>
            </m:num>
            <m:den>
              <m:sSub>
                <m:e>
                  <m:r>
                    <m:t>x</m:t>
                  </m:r>
                </m:e>
                <m:sub>
                  <m:r>
                    <m:t>j</m:t>
                  </m:r>
                  <m:r>
                    <m:rPr>
                      <m:sty m:val="p"/>
                    </m:rPr>
                    <m:t>,</m:t>
                  </m:r>
                  <m:r>
                    <m:rPr>
                      <m:sty m:val="p"/>
                    </m:rPr>
                    <m:t>max</m:t>
                  </m:r>
                </m:sub>
              </m:sSub>
              <m:r>
                <m:rPr>
                  <m:sty m:val="p"/>
                </m:rPr>
                <m:t>−</m:t>
              </m:r>
              <m:sSub>
                <m:e>
                  <m:r>
                    <m:t>x</m:t>
                  </m:r>
                </m:e>
                <m:sub>
                  <m:r>
                    <m:t>j</m:t>
                  </m:r>
                  <m:r>
                    <m:rPr>
                      <m:sty m:val="p"/>
                    </m:rPr>
                    <m:t>,</m:t>
                  </m:r>
                  <m:r>
                    <m:rPr>
                      <m:sty m:val="p"/>
                    </m:rPr>
                    <m:t>min</m:t>
                  </m:r>
                </m:sub>
              </m:sSub>
            </m:den>
          </m:f>
          <m:r>
            <m:rPr>
              <m:sty m:val="p"/>
            </m:rPr>
            <m:t>,</m:t>
          </m:r>
          <m:r>
            <m:t>  </m:t>
          </m:r>
          <m:sSubSup>
            <m:e>
              <m:r>
                <m:t>z</m:t>
              </m:r>
            </m:e>
            <m:sub>
              <m:r>
                <m:t>j</m:t>
              </m:r>
            </m:sub>
            <m:sup>
              <m:r>
                <m:rPr>
                  <m:sty m:val="p"/>
                </m:rPr>
                <m:t>−</m:t>
              </m:r>
            </m:sup>
          </m:sSubSup>
          <m:r>
            <m:rPr>
              <m:sty m:val="p"/>
            </m:rPr>
            <m:t>=</m:t>
          </m:r>
          <m:f>
            <m:fPr>
              <m:type m:val="bar"/>
            </m:fPr>
            <m:num>
              <m:sSub>
                <m:e>
                  <m:r>
                    <m:t>x</m:t>
                  </m:r>
                </m:e>
                <m:sub>
                  <m:r>
                    <m:t>j</m:t>
                  </m:r>
                  <m:r>
                    <m:rPr>
                      <m:sty m:val="p"/>
                    </m:rPr>
                    <m:t>,</m:t>
                  </m:r>
                  <m:r>
                    <m:rPr>
                      <m:sty m:val="p"/>
                    </m:rPr>
                    <m:t>max</m:t>
                  </m:r>
                </m:sub>
              </m:sSub>
              <m:r>
                <m:rPr>
                  <m:sty m:val="p"/>
                </m:rPr>
                <m:t>−</m:t>
              </m:r>
              <m:sSub>
                <m:e>
                  <m:r>
                    <m:t>x</m:t>
                  </m:r>
                </m:e>
                <m:sub>
                  <m:r>
                    <m:t>j</m:t>
                  </m:r>
                </m:sub>
              </m:sSub>
            </m:num>
            <m:den>
              <m:sSub>
                <m:e>
                  <m:r>
                    <m:t>x</m:t>
                  </m:r>
                </m:e>
                <m:sub>
                  <m:r>
                    <m:t>j</m:t>
                  </m:r>
                  <m:r>
                    <m:rPr>
                      <m:sty m:val="p"/>
                    </m:rPr>
                    <m:t>,</m:t>
                  </m:r>
                  <m:r>
                    <m:rPr>
                      <m:sty m:val="p"/>
                    </m:rPr>
                    <m:t>max</m:t>
                  </m:r>
                </m:sub>
              </m:sSub>
              <m:r>
                <m:rPr>
                  <m:sty m:val="p"/>
                </m:rPr>
                <m:t>−</m:t>
              </m:r>
              <m:sSub>
                <m:e>
                  <m:r>
                    <m:t>x</m:t>
                  </m:r>
                </m:e>
                <m:sub>
                  <m:r>
                    <m:t>j</m:t>
                  </m:r>
                  <m:r>
                    <m:rPr>
                      <m:sty m:val="p"/>
                    </m:rPr>
                    <m:t>,</m:t>
                  </m:r>
                  <m:r>
                    <m:rPr>
                      <m:sty m:val="p"/>
                    </m:rPr>
                    <m:t>min</m:t>
                  </m:r>
                </m:sub>
              </m:sSub>
            </m:den>
          </m:f>
          <m:r>
            <m:rPr>
              <m:sty m:val="p"/>
            </m:rPr>
            <m:t>.</m:t>
          </m:r>
        </m:oMath>
      </m:oMathPara>
    </w:p>
    <w:p>
      <w:pPr>
        <w:pStyle w:val="FirstParagraph"/>
      </w:pPr>
      <w:r>
        <w:t xml:space="preserve">HI、IRR、GWD、NLD、PET、TMP和REL按正向处理；Runoff、PRE、EQI、WI、WA和NDVI按负向处理。REL的正向方向及负向标准化公式依据实际计算口径校正。权重由层次分析法和熵权法组合确定，H与V分别加权求和：</w:t>
      </w:r>
    </w:p>
    <w:p>
      <w:pPr>
        <w:pStyle w:val="BodyText"/>
      </w:pPr>
      <m:oMathPara>
        <m:oMathParaPr>
          <m:jc m:val="center"/>
        </m:oMathParaPr>
        <m:oMath>
          <m:r>
            <m:t>H</m:t>
          </m:r>
          <m:r>
            <m:rPr>
              <m:sty m:val="p"/>
            </m:rPr>
            <m:t>=</m:t>
          </m:r>
          <m:nary>
            <m:naryPr>
              <m:chr m:val="∑"/>
              <m:limLoc m:val="undOvr"/>
              <m:subHide m:val="off"/>
              <m:supHide m:val="on"/>
            </m:naryPr>
            <m:sub>
              <m:r>
                <m:t>j</m:t>
              </m:r>
            </m:sub>
            <m:sup>
              <m:r>
                <m:t>​</m:t>
              </m:r>
            </m:sup>
            <m:e>
              <m:sSub>
                <m:e>
                  <m:r>
                    <m:t>w</m:t>
                  </m:r>
                </m:e>
                <m:sub>
                  <m:r>
                    <m:t>H</m:t>
                  </m:r>
                  <m:r>
                    <m:rPr>
                      <m:sty m:val="p"/>
                    </m:rPr>
                    <m:t>,</m:t>
                  </m:r>
                  <m:r>
                    <m:t>j</m:t>
                  </m:r>
                </m:sub>
              </m:sSub>
            </m:e>
          </m:nary>
          <m:sSub>
            <m:e>
              <m:r>
                <m:t>z</m:t>
              </m:r>
            </m:e>
            <m:sub>
              <m:r>
                <m:t>H</m:t>
              </m:r>
              <m:r>
                <m:rPr>
                  <m:sty m:val="p"/>
                </m:rPr>
                <m:t>,</m:t>
              </m:r>
              <m:r>
                <m:t>j</m:t>
              </m:r>
            </m:sub>
          </m:sSub>
          <m:r>
            <m:rPr>
              <m:sty m:val="p"/>
            </m:rPr>
            <m:t>,</m:t>
          </m:r>
          <m:r>
            <m:t>  </m:t>
          </m:r>
          <m:r>
            <m:t>V</m:t>
          </m:r>
          <m:r>
            <m:rPr>
              <m:sty m:val="p"/>
            </m:rPr>
            <m:t>=</m:t>
          </m:r>
          <m:nary>
            <m:naryPr>
              <m:chr m:val="∑"/>
              <m:limLoc m:val="undOvr"/>
              <m:subHide m:val="off"/>
              <m:supHide m:val="on"/>
            </m:naryPr>
            <m:sub>
              <m:r>
                <m:t>k</m:t>
              </m:r>
            </m:sub>
            <m:sup>
              <m:r>
                <m:t>​</m:t>
              </m:r>
            </m:sup>
            <m:e>
              <m:sSub>
                <m:e>
                  <m:r>
                    <m:t>w</m:t>
                  </m:r>
                </m:e>
                <m:sub>
                  <m:r>
                    <m:t>V</m:t>
                  </m:r>
                  <m:r>
                    <m:rPr>
                      <m:sty m:val="p"/>
                    </m:rPr>
                    <m:t>,</m:t>
                  </m:r>
                  <m:r>
                    <m:t>k</m:t>
                  </m:r>
                </m:sub>
              </m:sSub>
            </m:e>
          </m:nary>
          <m:sSub>
            <m:e>
              <m:r>
                <m:t>z</m:t>
              </m:r>
            </m:e>
            <m:sub>
              <m:r>
                <m:t>V</m:t>
              </m:r>
              <m:r>
                <m:rPr>
                  <m:sty m:val="p"/>
                </m:rPr>
                <m:t>,</m:t>
              </m:r>
              <m:r>
                <m:t>k</m:t>
              </m:r>
            </m:sub>
          </m:sSub>
          <m:r>
            <m:rPr>
              <m:sty m:val="p"/>
            </m:rPr>
            <m:t>,</m:t>
          </m:r>
          <m:r>
            <m:t>  </m:t>
          </m:r>
          <m:r>
            <m:t>R</m:t>
          </m:r>
          <m:r>
            <m:rPr>
              <m:sty m:val="p"/>
            </m:rPr>
            <m:t>=</m:t>
          </m:r>
          <m:r>
            <m:rPr>
              <m:sty m:val="p"/>
            </m:rPr>
            <m:t>W</m:t>
          </m:r>
          <m:r>
            <m:rPr>
              <m:sty m:val="p"/>
            </m:rPr>
            <m:t>D</m:t>
          </m:r>
          <m:r>
            <m:rPr>
              <m:sty m:val="p"/>
            </m:rPr>
            <m:t>R</m:t>
          </m:r>
          <m:r>
            <m:rPr>
              <m:sty m:val="p"/>
            </m:rPr>
            <m:t>I</m:t>
          </m:r>
          <m:r>
            <m:rPr>
              <m:sty m:val="p"/>
            </m:rPr>
            <m:t>=</m:t>
          </m:r>
          <m:r>
            <m:t>H</m:t>
          </m:r>
          <m:r>
            <m:rPr>
              <m:sty m:val="p"/>
            </m:rPr>
            <m:t>×</m:t>
          </m:r>
          <m:r>
            <m:t>V</m:t>
          </m:r>
          <m:r>
            <m:rPr>
              <m:sty m:val="p"/>
            </m:rPr>
            <m:t>.</m:t>
          </m:r>
        </m:oMath>
      </m:oMathPara>
    </w:p>
    <w:p>
      <w:pPr>
        <w:pStyle w:val="FirstParagraph"/>
      </w:pPr>
      <w:r>
        <w:t xml:space="preserve">H中HI、IRR、GWD、Runoff、NLD、PRE、PET和TMP的权重依次为0.2011、0.1394、0.1967、0.1189、0.0308、0.1073、0.1010和0.1048；V中EQI、WI、REL、WA和NDVI的权重依次为0.4113、0.2486、0.1399、0.1260和0.0742。所有年份使用同一组WDRI分级断点划分五级风险区，同时保留连续指数用于变化分解。WDRI表示相对综合风险状态，不解释为湿地退化发生概率。</w:t>
      </w:r>
    </w:p>
    <w:p>
      <w:pPr>
        <w:pStyle w:val="BodyText"/>
      </w:pPr>
      <w:r>
        <w:t xml:space="preserve">跨期比较需要共同的标准化极值、固定权重和一致掩膜。若原始计算采用逐年极值，连续指数变化将同时包含评价尺度变化和环境状态变化，必须用全期共同极值重算后再进行分量解释。因此，标准化范围、组合赋权公式、统一分级断点和有效掩膜面积作为复现检查的前置条件。</w:t>
      </w:r>
    </w:p>
    <w:p>
      <w:pPr>
        <w:pStyle w:val="BodyText"/>
      </w:pPr>
      <w:r>
        <w:t xml:space="preserve">为量化综合风险变化的来源，对相邻观测期的R=H×V进行对称分解。设初期和末期分别为0和1，</w:t>
      </w:r>
      <m:oMath>
        <m:r>
          <m:t>Δ</m:t>
        </m:r>
        <m:r>
          <m:t>H</m:t>
        </m:r>
        <m:r>
          <m:rPr>
            <m:sty m:val="p"/>
          </m:rPr>
          <m:t>=</m:t>
        </m:r>
        <m:sSub>
          <m:e>
            <m:r>
              <m:t>H</m:t>
            </m:r>
          </m:e>
          <m:sub>
            <m:r>
              <m:t>1</m:t>
            </m:r>
          </m:sub>
        </m:sSub>
        <m:r>
          <m:rPr>
            <m:sty m:val="p"/>
          </m:rPr>
          <m:t>−</m:t>
        </m:r>
        <m:sSub>
          <m:e>
            <m:r>
              <m:t>H</m:t>
            </m:r>
          </m:e>
          <m:sub>
            <m:r>
              <m:t>0</m:t>
            </m:r>
          </m:sub>
        </m:sSub>
      </m:oMath>
      <w:r>
        <w:t xml:space="preserve">，</w:t>
      </w:r>
      <m:oMath>
        <m:r>
          <m:t>Δ</m:t>
        </m:r>
        <m:r>
          <m:t>V</m:t>
        </m:r>
        <m:r>
          <m:rPr>
            <m:sty m:val="p"/>
          </m:rPr>
          <m:t>=</m:t>
        </m:r>
        <m:sSub>
          <m:e>
            <m:r>
              <m:t>V</m:t>
            </m:r>
          </m:e>
          <m:sub>
            <m:r>
              <m:t>1</m:t>
            </m:r>
          </m:sub>
        </m:sSub>
        <m:r>
          <m:rPr>
            <m:sty m:val="p"/>
          </m:rPr>
          <m:t>−</m:t>
        </m:r>
        <m:sSub>
          <m:e>
            <m:r>
              <m:t>V</m:t>
            </m:r>
          </m:e>
          <m:sub>
            <m:r>
              <m:t>0</m:t>
            </m:r>
          </m:sub>
        </m:sSub>
      </m:oMath>
      <w:r>
        <w:t xml:space="preserve">，则：</w:t>
      </w:r>
    </w:p>
    <w:p>
      <w:pPr>
        <w:pStyle w:val="BodyText"/>
      </w:pPr>
      <m:oMathPara>
        <m:oMathParaPr>
          <m:jc m:val="center"/>
        </m:oMathParaPr>
        <m:oMath>
          <m:r>
            <m:t>Δ</m:t>
          </m:r>
          <m:r>
            <m:t>R</m:t>
          </m:r>
          <m:r>
            <m:rPr>
              <m:sty m:val="p"/>
            </m:rPr>
            <m:t>=</m:t>
          </m:r>
          <m:sSub>
            <m:e>
              <m:r>
                <m:t>R</m:t>
              </m:r>
            </m:e>
            <m:sub>
              <m:r>
                <m:t>1</m:t>
              </m:r>
            </m:sub>
          </m:sSub>
          <m:r>
            <m:rPr>
              <m:sty m:val="p"/>
            </m:rPr>
            <m:t>−</m:t>
          </m:r>
          <m:sSub>
            <m:e>
              <m:r>
                <m:t>R</m:t>
              </m:r>
            </m:e>
            <m:sub>
              <m:r>
                <m:t>0</m:t>
              </m:r>
            </m:sub>
          </m:sSub>
          <m:r>
            <m:rPr>
              <m:sty m:val="p"/>
            </m:rPr>
            <m:t>=</m:t>
          </m:r>
          <m:f>
            <m:fPr>
              <m:type m:val="bar"/>
            </m:fPr>
            <m:num>
              <m:sSub>
                <m:e>
                  <m:r>
                    <m:t>V</m:t>
                  </m:r>
                </m:e>
                <m:sub>
                  <m:r>
                    <m:t>1</m:t>
                  </m:r>
                </m:sub>
              </m:sSub>
              <m:r>
                <m:rPr>
                  <m:sty m:val="p"/>
                </m:rPr>
                <m:t>+</m:t>
              </m:r>
              <m:sSub>
                <m:e>
                  <m:r>
                    <m:t>V</m:t>
                  </m:r>
                </m:e>
                <m:sub>
                  <m:r>
                    <m:t>0</m:t>
                  </m:r>
                </m:sub>
              </m:sSub>
            </m:num>
            <m:den>
              <m:r>
                <m:t>2</m:t>
              </m:r>
            </m:den>
          </m:f>
          <m:r>
            <m:t>Δ</m:t>
          </m:r>
          <m:r>
            <m:t>H</m:t>
          </m:r>
          <m:r>
            <m:rPr>
              <m:sty m:val="p"/>
            </m:rPr>
            <m:t>+</m:t>
          </m:r>
          <m:f>
            <m:fPr>
              <m:type m:val="bar"/>
            </m:fPr>
            <m:num>
              <m:sSub>
                <m:e>
                  <m:r>
                    <m:t>H</m:t>
                  </m:r>
                </m:e>
                <m:sub>
                  <m:r>
                    <m:t>1</m:t>
                  </m:r>
                </m:sub>
              </m:sSub>
              <m:r>
                <m:rPr>
                  <m:sty m:val="p"/>
                </m:rPr>
                <m:t>+</m:t>
              </m:r>
              <m:sSub>
                <m:e>
                  <m:r>
                    <m:t>H</m:t>
                  </m:r>
                </m:e>
                <m:sub>
                  <m:r>
                    <m:t>0</m:t>
                  </m:r>
                </m:sub>
              </m:sSub>
            </m:num>
            <m:den>
              <m:r>
                <m:t>2</m:t>
              </m:r>
            </m:den>
          </m:f>
          <m:r>
            <m:t>Δ</m:t>
          </m:r>
          <m:r>
            <m:t>V</m:t>
          </m:r>
          <m:r>
            <m:rPr>
              <m:sty m:val="p"/>
            </m:rPr>
            <m:t>.</m:t>
          </m:r>
        </m:oMath>
      </m:oMathPara>
    </w:p>
    <w:p>
      <w:pPr>
        <w:pStyle w:val="FirstParagraph"/>
      </w:pPr>
      <w:r>
        <w:t xml:space="preserve">式（4）右侧第一项记为危险性变化分量</w:t>
      </w:r>
      <m:oMath>
        <m:sSub>
          <m:e>
            <m:r>
              <m:t>C</m:t>
            </m:r>
          </m:e>
          <m:sub>
            <m:r>
              <m:t>H</m:t>
            </m:r>
          </m:sub>
        </m:sSub>
      </m:oMath>
      <w:r>
        <w:t xml:space="preserve">，第二项记为脆弱性变化分量</w:t>
      </w:r>
      <m:oMath>
        <m:sSub>
          <m:e>
            <m:r>
              <m:t>C</m:t>
            </m:r>
          </m:e>
          <m:sub>
            <m:r>
              <m:t>V</m:t>
            </m:r>
          </m:sub>
        </m:sSub>
      </m:oMath>
      <w:r>
        <w:t xml:space="preserve">，且</w:t>
      </w:r>
      <m:oMath>
        <m:sSub>
          <m:e>
            <m:r>
              <m:t>C</m:t>
            </m:r>
          </m:e>
          <m:sub>
            <m:r>
              <m:t>H</m:t>
            </m:r>
          </m:sub>
        </m:sSub>
        <m:r>
          <m:rPr>
            <m:sty m:val="p"/>
          </m:rPr>
          <m:t>+</m:t>
        </m:r>
        <m:sSub>
          <m:e>
            <m:r>
              <m:t>C</m:t>
            </m:r>
          </m:e>
          <m:sub>
            <m:r>
              <m:t>V</m:t>
            </m:r>
          </m:sub>
        </m:sSub>
        <m:r>
          <m:rPr>
            <m:sty m:val="p"/>
          </m:rPr>
          <m:t>=</m:t>
        </m:r>
        <m:r>
          <m:t>Δ</m:t>
        </m:r>
        <m:r>
          <m:t>R</m:t>
        </m:r>
      </m:oMath>
      <w:r>
        <w:t xml:space="preserve">。该分解是乘积恒等式，用于说明指标变化由哪个分量产生，不被解释为危险性或脆弱性的生态因果效应。逐网格计算后，分别在流域平原区、湿地相关范围和核心湿地区域汇总</w:t>
      </w:r>
      <m:oMath>
        <m:sSub>
          <m:e>
            <m:r>
              <m:t>C</m:t>
            </m:r>
          </m:e>
          <m:sub>
            <m:r>
              <m:t>H</m:t>
            </m:r>
          </m:sub>
        </m:sSub>
      </m:oMath>
      <w:r>
        <w:t xml:space="preserve">、</w:t>
      </w:r>
      <m:oMath>
        <m:sSub>
          <m:e>
            <m:r>
              <m:t>C</m:t>
            </m:r>
          </m:e>
          <m:sub>
            <m:r>
              <m:t>V</m:t>
            </m:r>
          </m:sub>
        </m:sSub>
      </m:oMath>
      <w:r>
        <w:t xml:space="preserve">及其正负方向。对于</w:t>
      </w:r>
      <m:oMath>
        <m:r>
          <m:t>Δ</m:t>
        </m:r>
        <m:r>
          <m:t>R</m:t>
        </m:r>
      </m:oMath>
      <w:r>
        <w:t xml:space="preserve">接近0的区域，不计算易失真的百分比贡献，而报告绝对分量及面积占比。因观测间隔不等，同时报告区间总变化与年均变化。</w:t>
      </w:r>
    </w:p>
    <w:p>
      <w:pPr>
        <w:pStyle w:val="BodyText"/>
      </w:pPr>
      <w:r>
        <w:t xml:space="preserve">进一步按</w:t>
      </w:r>
      <m:oMath>
        <m:r>
          <m:t>Δ</m:t>
        </m:r>
        <m:r>
          <m:t>R</m:t>
        </m:r>
      </m:oMath>
      <w:r>
        <w:t xml:space="preserve">与</w:t>
      </w:r>
      <m:oMath>
        <m:r>
          <m:t>Δ</m:t>
        </m:r>
        <m:r>
          <m:t>H</m:t>
        </m:r>
      </m:oMath>
      <w:r>
        <w:t xml:space="preserve">的符号识别风险改善和压力变化的空间组合。重点关注</w:t>
      </w:r>
      <m:oMath>
        <m:r>
          <m:t>Δ</m:t>
        </m:r>
        <m:r>
          <m:t>R</m:t>
        </m:r>
        <m:r>
          <m:rPr>
            <m:sty m:val="p"/>
          </m:rPr>
          <m:t>&lt;</m:t>
        </m:r>
        <m:r>
          <m:t>0</m:t>
        </m:r>
      </m:oMath>
      <w:r>
        <w:t xml:space="preserve">且</w:t>
      </w:r>
      <m:oMath>
        <m:r>
          <m:t>Δ</m:t>
        </m:r>
        <m:r>
          <m:t>H</m:t>
        </m:r>
        <m:r>
          <m:rPr>
            <m:sty m:val="p"/>
          </m:rPr>
          <m:t>≥</m:t>
        </m:r>
        <m:r>
          <m:t>0</m:t>
        </m:r>
      </m:oMath>
      <w:r>
        <w:t xml:space="preserve">的网格，即综合风险下降但危险性未下降的区域；该判据无需另设高低阈值，可直接检验乘积型指标是否因V下降而弱化了H的持续或增加。相应地，</w:t>
      </w:r>
      <m:oMath>
        <m:r>
          <m:t>Δ</m:t>
        </m:r>
        <m:r>
          <m:t>R</m:t>
        </m:r>
        <m:r>
          <m:rPr>
            <m:sty m:val="p"/>
          </m:rPr>
          <m:t>&lt;</m:t>
        </m:r>
        <m:r>
          <m:t>0</m:t>
        </m:r>
      </m:oMath>
      <w:r>
        <w:t xml:space="preserve">且</w:t>
      </w:r>
      <m:oMath>
        <m:r>
          <m:t>Δ</m:t>
        </m:r>
        <m:r>
          <m:t>H</m:t>
        </m:r>
        <m:r>
          <m:rPr>
            <m:sty m:val="p"/>
          </m:rPr>
          <m:t>&lt;</m:t>
        </m:r>
        <m:r>
          <m:t>0</m:t>
        </m:r>
      </m:oMath>
      <w:r>
        <w:t xml:space="preserve">表示风险与危险性同步下降。两类区域与核心湿地、河流廊道、主要农业区及地下水降落漏斗叠置，以确定其管理意义。</w:t>
      </w:r>
    </w:p>
    <w:bookmarkEnd w:id="25"/>
    <w:bookmarkStart w:id="26" w:name="驱动模型构建与性能评估"/>
    <w:p>
      <w:pPr>
        <w:pStyle w:val="Heading4"/>
      </w:pPr>
      <w:r>
        <w:t xml:space="preserve">2.4.2 驱动模型构建与性能评估</w:t>
      </w:r>
    </w:p>
    <w:p>
      <w:pPr>
        <w:pStyle w:val="FirstParagraph"/>
      </w:pPr>
      <w:r>
        <w:t xml:space="preserve">以WDRI为响应变量，使用TMP、NDVI、VSW、PRE、Runoff、PET、DEM、IRR、GWD和Slope比较随机森林、XGBoost、LightGBM和CatBoost。既有分析按70%训练集和30%测试集随机划分样本，并使用R²、MAE、RMSE和MAPE评价性能；XGBoost采用Optuna的树结构Parzen估计器寻优，在训练数据中进行五折交叉验证，并以15%的训练样本实施早停。由于同一网格的不同年份及邻近网格可能具有较强相关性，投稿分析增加空间区块和留一年验证，并以随机划分结果作为对照，而非外推能力的唯一依据。</w:t>
      </w:r>
    </w:p>
    <w:bookmarkEnd w:id="26"/>
    <w:bookmarkStart w:id="27" w:name="shap驱动贡献非线性响应与交互效应分析"/>
    <w:p>
      <w:pPr>
        <w:pStyle w:val="Heading4"/>
      </w:pPr>
      <w:r>
        <w:t xml:space="preserve">2.4.3 SHAP驱动贡献、非线性响应与交互效应分析</w:t>
      </w:r>
    </w:p>
    <w:p>
      <w:pPr>
        <w:pStyle w:val="FirstParagraph"/>
      </w:pPr>
      <w:r>
        <w:t xml:space="preserve">采用SHAP解释模型预测。全局贡献以平均绝对SHAP值表示，贡献方向由有符号SHAP值描述；各年份使用同一全时期模型和共同背景样本进行解释，再按五阶段等权汇总。逐年结果与阶段均值同时报告，以避免每阶段仅两期数据造成过度概括。阶段间独立模型仅作为敏感性分析，因为不同模型基准下的SHAP绝对值不能直接比较。</w:t>
      </w:r>
    </w:p>
    <w:p>
      <w:pPr>
        <w:pStyle w:val="BodyText"/>
      </w:pPr>
      <w:r>
        <w:t xml:space="preserve">地下水响应使用SHAP依赖曲线描述，并报告样本密度、平滑曲线、转折识别方法和重采样区间。SHAP交互值用于识别模型中的非加和关联，保留强度与方向两个维度。由于GWD、TMP、PRE、PET、Runoff、IRR和NDVI直接或间接参与WDRI构建，本节结果统一称为“指标响应”或“模型关联”，不称为独立生态驱动。若存在未用于构建WDRI的湿地植被、水文期或后续影像退化资料，则另作外部验证；没有独立观测时，不把模型转折命名为生态阈值。</w:t>
      </w:r>
    </w:p>
    <w:bookmarkEnd w:id="27"/>
    <w:bookmarkEnd w:id="28"/>
    <w:bookmarkEnd w:id="29"/>
    <w:bookmarkStart w:id="46" w:name="结果与分析"/>
    <w:p>
      <w:pPr>
        <w:pStyle w:val="Heading2"/>
      </w:pPr>
      <w:r>
        <w:t xml:space="preserve">3 结果与分析</w:t>
      </w:r>
    </w:p>
    <w:bookmarkStart w:id="33" w:name="地下水管理转型下湿地退化风险时空演变"/>
    <w:p>
      <w:pPr>
        <w:pStyle w:val="Heading3"/>
      </w:pPr>
      <w:r>
        <w:t xml:space="preserve">3.1 地下水管理转型下湿地退化风险时空演变</w:t>
      </w:r>
    </w:p>
    <w:bookmarkStart w:id="30" w:name="危险性指数空间变化分析"/>
    <w:p>
      <w:pPr>
        <w:pStyle w:val="Heading4"/>
      </w:pPr>
      <w:r>
        <w:t xml:space="preserve">3.1.1 危险性指数空间变化分析</w:t>
      </w:r>
    </w:p>
    <w:p>
      <w:pPr>
        <w:pStyle w:val="FirstParagraph"/>
      </w:pPr>
      <w:r>
        <w:t xml:space="preserve">1980—2022年，危险性高值主要呈局地斑块分布，区域大部分范围维持在较低或中等水平。高值斑块集中于北部及中南部部分城镇—农业用地区域。1980—1995年高值斑块相对较少；2000年后其数量和局部连片程度增加，2015年前后处于较高水平，2020年回落后于2022年再次增强。危险性因而没有随综合风险持续下降。</w:t>
      </w:r>
    </w:p>
    <w:bookmarkEnd w:id="30"/>
    <w:bookmarkStart w:id="31" w:name="脆弱性指数空间变化分析"/>
    <w:p>
      <w:pPr>
        <w:pStyle w:val="Heading4"/>
      </w:pPr>
      <w:r>
        <w:t xml:space="preserve">3.1.2 脆弱性指数空间变化分析</w:t>
      </w:r>
    </w:p>
    <w:p>
      <w:pPr>
        <w:pStyle w:val="FirstParagraph"/>
      </w:pPr>
      <w:r>
        <w:t xml:space="preserve">脆弱性的时间轨迹不同。1980—1995年高低值区呈较明显的空间镶嵌，2000—2005年部分高值区扩展；2010年后低值区逐渐连片，脆弱性高值范围收缩，仅在北部局地和边缘区域保留零散斑块。相较于危险性的局部波动，后期脆弱性下降更连续。</w:t>
      </w:r>
    </w:p>
    <w:bookmarkEnd w:id="31"/>
    <w:bookmarkStart w:id="32" w:name="湿地退化风险区的分布与面积变化"/>
    <w:p>
      <w:pPr>
        <w:pStyle w:val="Heading4"/>
      </w:pPr>
      <w:r>
        <w:t xml:space="preserve">3.1.3 湿地退化风险区的分布与面积变化</w:t>
      </w:r>
    </w:p>
    <w:p>
      <w:pPr>
        <w:pStyle w:val="FirstParagraph"/>
      </w:pPr>
      <w:r>
        <w:t xml:space="preserve">WDRI由早期中风险与局地较高风险镶嵌，逐步转为后期较低—低风险占主导。1980年和1985年，较低—低风险区分别为7720和7858 km²，占评价范围的58.73%和59.78%。1990年该比例降至45.92%，中风险区增至5598 km²（42.59%），最高两级风险区为1511 km²（11.49%）。2000年和2005年最高两级风险区分别为2036和1947 km²，占15.49%和14.81%。2010年较低—低风险区增至12206 km²（92.86%），最高两级风险区降至131 km²（1.00%）。2015年较低—低风险占比回落至90.75%，2020年升至92.16%；2022年进一步增至12931 km²（98.37%），最高两级风险区仅17 km²（0.13%）。</w:t>
      </w:r>
    </w:p>
    <w:p>
      <w:pPr>
        <w:pStyle w:val="BodyText"/>
      </w:pPr>
      <w:r>
        <w:t xml:space="preserve">三条轨迹共同显示，综合风险明显下降在2010年已经出现，早于2012年制度节点；2015年又相对2010年出现波动。后期低WDRI范围扩大与脆弱性高值区收缩一致，但与危险性局部增强并不同步。由此，2022年98.37%的较低—低风险占比只能说明评价范围内的WDRI等级构成，不能解释为98.37%的湿地已经恢复，也不能证明外部水文压力在相同范围内解除。</w:t>
      </w:r>
    </w:p>
    <w:p>
      <w:pPr>
        <w:pStyle w:val="BodyText"/>
      </w:pPr>
      <w:r>
        <w:t xml:space="preserve">【核心结果插入位R1】按式（4）报告各相邻观测期及五阶段对应区间的</w:t>
      </w:r>
      <m:oMath>
        <m:r>
          <m:t>Δ</m:t>
        </m:r>
        <m:r>
          <m:t>R</m:t>
        </m:r>
      </m:oMath>
      <w:r>
        <w:t xml:space="preserve">、</w:t>
      </w:r>
      <m:oMath>
        <m:sSub>
          <m:e>
            <m:r>
              <m:t>C</m:t>
            </m:r>
          </m:e>
          <m:sub>
            <m:r>
              <m:t>H</m:t>
            </m:r>
          </m:sub>
        </m:sSub>
      </m:oMath>
      <w:r>
        <w:t xml:space="preserve">和</w:t>
      </w:r>
      <m:oMath>
        <m:sSub>
          <m:e>
            <m:r>
              <m:t>C</m:t>
            </m:r>
          </m:e>
          <m:sub>
            <m:r>
              <m:t>V</m:t>
            </m:r>
          </m:sub>
        </m:sSub>
      </m:oMath>
      <w:r>
        <w:t xml:space="preserve">，至少包括流域平原区、湿地相关范围和核心湿地范围。正文回答“哪些时期主要由H变化解释，哪些时期主要由V变化解释”，不预设脆弱性下降占主导。进一步绘制</w:t>
      </w:r>
      <m:oMath>
        <m:r>
          <m:t>Δ</m:t>
        </m:r>
        <m:r>
          <m:t>R</m:t>
        </m:r>
        <m:r>
          <m:rPr>
            <m:sty m:val="p"/>
          </m:rPr>
          <m:t>&lt;</m:t>
        </m:r>
        <m:r>
          <m:t>0</m:t>
        </m:r>
        <m:r>
          <m:rPr>
            <m:sty m:val="p"/>
          </m:rPr>
          <m:t>,</m:t>
        </m:r>
        <m:r>
          <m:t>Δ</m:t>
        </m:r>
        <m:r>
          <m:t>H</m:t>
        </m:r>
        <m:r>
          <m:rPr>
            <m:sty m:val="p"/>
          </m:rPr>
          <m:t>≥</m:t>
        </m:r>
        <m:r>
          <m:t>0</m:t>
        </m:r>
      </m:oMath>
      <w:r>
        <w:t xml:space="preserve">和</w:t>
      </w:r>
      <m:oMath>
        <m:r>
          <m:t>Δ</m:t>
        </m:r>
        <m:r>
          <m:t>R</m:t>
        </m:r>
        <m:r>
          <m:rPr>
            <m:sty m:val="p"/>
          </m:rPr>
          <m:t>&lt;</m:t>
        </m:r>
        <m:r>
          <m:t>0</m:t>
        </m:r>
        <m:r>
          <m:rPr>
            <m:sty m:val="p"/>
          </m:rPr>
          <m:t>,</m:t>
        </m:r>
        <m:r>
          <m:t>Δ</m:t>
        </m:r>
        <m:r>
          <m:t>H</m:t>
        </m:r>
        <m:r>
          <m:rPr>
            <m:sty m:val="p"/>
          </m:rPr>
          <m:t>&lt;</m:t>
        </m:r>
        <m:r>
          <m:t>0</m:t>
        </m:r>
      </m:oMath>
      <w:r>
        <w:t xml:space="preserve">两类区域，报告风险下降但危险性未下降区域的面积与空间分布。该结果产生前，现有图件仅支持H、V与WDRI变化不同步，不能声称已经识别出压力遮蔽区。</w:t>
      </w:r>
    </w:p>
    <w:bookmarkEnd w:id="32"/>
    <w:bookmarkEnd w:id="33"/>
    <w:bookmarkStart w:id="37" w:name="湿地退化风险驱动贡献及阶段转换"/>
    <w:p>
      <w:pPr>
        <w:pStyle w:val="Heading3"/>
      </w:pPr>
      <w:r>
        <w:t xml:space="preserve">3.2 湿地退化风险驱动贡献及阶段转换</w:t>
      </w:r>
    </w:p>
    <w:bookmarkStart w:id="34" w:name="湿地退化风险驱动因子贡献差异"/>
    <w:p>
      <w:pPr>
        <w:pStyle w:val="Heading4"/>
      </w:pPr>
      <w:r>
        <w:t xml:space="preserve">3.2.1 湿地退化风险驱动因子贡献差异</w:t>
      </w:r>
    </w:p>
    <w:p>
      <w:pPr>
        <w:pStyle w:val="FirstParagraph"/>
      </w:pPr>
      <w:r>
        <w:t xml:space="preserve">四类集成模型在既有随机测试集上的性能接近。XGBoost和LightGBM的R²均为0.86，CatBoost和随机森林分别为0.85和0.83；四类模型的MAE约0.01、RMSE约0.02。XGBoost的MAPE为52.05%，略低于LightGBM的52.36%、CatBoost的56.84%和随机森林的60.19%。由于WDRI包含接近0的值，MAPE受到小分母影响。现有结果支持选择XGBoost开展统一的SHAP解释，但不能证明其跨时空外推能力显著优于其他模型。</w:t>
      </w:r>
    </w:p>
    <w:p>
      <w:pPr>
        <w:pStyle w:val="BodyText"/>
      </w:pPr>
      <w:r>
        <w:t xml:space="preserve">全样本平均绝对SHAP值排序为TMP、NDVI、VSW、PRE、Runoff、PET、DEM、IRR、GWD和Slope。模型主要利用水热背景、植被状态和水分条件区分WDRI。NDVI较低时多对应正向SHAP贡献，较高时多对应负向贡献；低Runoff样本出现较长的正向贡献尾部。TMP在较低值区间表现出较高正向贡献，这一方向不能解释为升温降低湿地风险，而更可能反映年份、空间位置和相关水分变量的联合分布。GWD的全局平均排序相对靠后，但这不排除其在局部区域和特定水热条件下具有较强响应。</w:t>
      </w:r>
    </w:p>
    <w:p>
      <w:pPr>
        <w:pStyle w:val="BodyText"/>
      </w:pPr>
      <w:r>
        <w:t xml:space="preserve">按风险等级分组后，中高风险样本中水热与水分变量的贡献幅度发生变化。该比较说明模型在不同风险状态下具有异质性，但风险等级不是时间阶段，不能用它替代管理转型不同阶段的贡献比较。</w:t>
      </w:r>
    </w:p>
    <w:bookmarkEnd w:id="34"/>
    <w:bookmarkStart w:id="35" w:name="地下水管理转型不同阶段的驱动因子变化"/>
    <w:p>
      <w:pPr>
        <w:pStyle w:val="Heading4"/>
      </w:pPr>
      <w:r>
        <w:t xml:space="preserve">3.2.2 地下水管理转型不同阶段的驱动因子变化</w:t>
      </w:r>
    </w:p>
    <w:p>
      <w:pPr>
        <w:pStyle w:val="FirstParagraph"/>
      </w:pPr>
      <w:r>
        <w:t xml:space="preserve">【核心结果插入位R2】使用统一全时期模型和共同SHAP背景，分别计算1980、1985、1990、1995、2000、2005、2010、2015、2020和2022年的平均绝对贡献、归一化份额及有符号贡献，再按五个湿地演变阶段汇总。阶段解释依次对应快速萎缩期、补水恢复期、再次缩减期、持续缩减期和后期恢复期；2012年制度启动、2014年底区域供水及2015年后综合治理作为第四、第五阶段中的管理节点，而不是唯一分界。</w:t>
      </w:r>
    </w:p>
    <w:p>
      <w:pPr>
        <w:pStyle w:val="BodyText"/>
      </w:pPr>
      <w:r>
        <w:t xml:space="preserve">阶段汇总应同时呈现逐年结果。每阶段仅约两期典型年，空间样本数量不能替代时间重复。如果阶段平均差异主要由单一年份造成，应表述为典型年波动；只有当相邻阶段差异超过阶段内波动，并对年份权重、空间样本和验证方案保持稳定时，才能称为驱动贡献重组。</w:t>
      </w:r>
    </w:p>
    <w:bookmarkEnd w:id="35"/>
    <w:bookmarkStart w:id="36" w:name="管理转型过程中主导驱动变化"/>
    <w:p>
      <w:pPr>
        <w:pStyle w:val="Heading4"/>
      </w:pPr>
      <w:r>
        <w:t xml:space="preserve">3.2.3 管理转型过程中主导驱动变化</w:t>
      </w:r>
    </w:p>
    <w:p>
      <w:pPr>
        <w:pStyle w:val="FirstParagraph"/>
      </w:pPr>
      <w:r>
        <w:t xml:space="preserve">【核心结果插入位R3】基于每个网格绝对SHAP值最大的变量识别主导贡献因子，计算各阶段主导因子的面积占比及相邻阶段转换矩阵，并与风险上升区、风险下降区和核心湿地范围叠置。需要报告第一、第二位贡献接近时的排序稳定性，避免将微小差异判定为主导因子转换。</w:t>
      </w:r>
    </w:p>
    <w:p>
      <w:pPr>
        <w:pStyle w:val="BodyText"/>
      </w:pPr>
      <w:r>
        <w:t xml:space="preserve">若主要变化表现为同一因子贡献增强或减弱，而不是第一位因子发生替换，则应使用“贡献强度调整”而非“主导驱动转换”。这一区分直接决定题目中的“驱动贡献重组”能否保留。</w:t>
      </w:r>
    </w:p>
    <w:bookmarkEnd w:id="36"/>
    <w:bookmarkEnd w:id="37"/>
    <w:bookmarkStart w:id="41" w:name="关键驱动因子的非线性响应"/>
    <w:p>
      <w:pPr>
        <w:pStyle w:val="Heading3"/>
      </w:pPr>
      <w:r>
        <w:t xml:space="preserve">3.3 关键驱动因子的非线性响应</w:t>
      </w:r>
    </w:p>
    <w:bookmarkStart w:id="38" w:name="主导驱动因子的非线性作用特征"/>
    <w:p>
      <w:pPr>
        <w:pStyle w:val="Heading4"/>
      </w:pPr>
      <w:r>
        <w:t xml:space="preserve">3.3.1 主导驱动因子的非线性作用特征</w:t>
      </w:r>
    </w:p>
    <w:p>
      <w:pPr>
        <w:pStyle w:val="FirstParagraph"/>
      </w:pPr>
      <w:r>
        <w:t xml:space="preserve">主要变量的SHAP依赖关系并非单一方向的线性变化。PRE和PET表现为谷形或近似U形，现有图示中的响应转折参考值分别约为429.4和1133.8 mm，说明不同水分供需区间对应的模型贡献方向和幅度不同。TMP呈分段变化，约11.8 ℃附近出现斜率调整；较低温度样本中的正向贡献不同于简单的升温增强蒸散推断，表明时间背景、植被状态和水分条件共同参与模型区分。</w:t>
      </w:r>
    </w:p>
    <w:p>
      <w:pPr>
        <w:pStyle w:val="BodyText"/>
      </w:pPr>
      <w:r>
        <w:t xml:space="preserve">VSW也表现出非单调变化，IRR在部分取值范围内对应更明显的正向贡献。由于VSW的物理定义、单位和缩放尚需从原始元数据核对，本稿暂不报告其数值转折。上述曲线描述的是现有样本和模型中的条件关联，不能单独区分直接作用、间接作用和共同环境背景。</w:t>
      </w:r>
    </w:p>
    <w:bookmarkEnd w:id="38"/>
    <w:bookmarkStart w:id="39" w:name="地下水埋深响应及阈值区间"/>
    <w:p>
      <w:pPr>
        <w:pStyle w:val="Heading4"/>
      </w:pPr>
      <w:r>
        <w:t xml:space="preserve">3.3.2 地下水埋深响应及阈值区间</w:t>
      </w:r>
    </w:p>
    <w:p>
      <w:pPr>
        <w:pStyle w:val="FirstParagraph"/>
      </w:pPr>
      <w:r>
        <w:t xml:space="preserve">GWD在较浅埋深区间的SHAP响应变化较快，较深区间的边际变化趋缓。全样本依赖曲线在约14.78 m附近发生斜率调整，低—中风险分组的相应位置大体接近，部分较高风险分组约为11—12 m。结合较深埋深样本更常出现正向贡献，GWD与WDRI之间表现出非线性关联。</w:t>
      </w:r>
    </w:p>
    <w:p>
      <w:pPr>
        <w:pStyle w:val="BodyText"/>
      </w:pPr>
      <w:r>
        <w:t xml:space="preserve">14.78 m代表模型响应转折参考值，而不是已经验证的生态安全水位。曲线趋缓不表示地下水继续加深已无生态影响，也不表示跨越该数值后风险突然跃迁。正式结果需补充转折识别算法、断点附近样本密度、重采样区间和替代模型敏感性；只有当未参与WDRI构建的生态响应在相近位置同步变化时，才可进一步讨论生态阈值。</w:t>
      </w:r>
    </w:p>
    <w:bookmarkEnd w:id="39"/>
    <w:bookmarkStart w:id="40" w:name="关键因子的敏感区间差异"/>
    <w:p>
      <w:pPr>
        <w:pStyle w:val="Heading4"/>
      </w:pPr>
      <w:r>
        <w:t xml:space="preserve">3.3.3 关键因子的敏感区间差异</w:t>
      </w:r>
    </w:p>
    <w:p>
      <w:pPr>
        <w:pStyle w:val="FirstParagraph"/>
      </w:pPr>
      <w:r>
        <w:t xml:space="preserve">县域GWD响应位置差异较大，已报告参考值介于4.99—39.86 m。定兴县为4.99 m，雄安新区和徐水区分别为12.61和12.84 m，行唐县和高阳县分别为32.42和39.86 m。多数县域在较浅埋深一侧的响应较强，转折后趋缓，部分区域还出现贡献方向调整。</w:t>
      </w:r>
    </w:p>
    <w:p>
      <w:pPr>
        <w:pStyle w:val="BodyText"/>
      </w:pPr>
      <w:r>
        <w:t xml:space="preserve">县域差异可能同时反映地貌、含水层条件、水源结构、样本范围和风险组成差别。较深的统计转折不能解释为当地植被能够直接利用相同深度的地下水，也不能据此排列生态耐受能力。县域结果适宜用于确定调查和监测优先区，具体控制水位仍需结合浅层地下水和湿地生态观测。</w:t>
      </w:r>
    </w:p>
    <w:bookmarkEnd w:id="40"/>
    <w:bookmarkEnd w:id="41"/>
    <w:bookmarkStart w:id="45" w:name="湿地退化风险驱动因子的交互效应"/>
    <w:p>
      <w:pPr>
        <w:pStyle w:val="Heading3"/>
      </w:pPr>
      <w:r>
        <w:t xml:space="preserve">3.4 湿地退化风险驱动因子的交互效应</w:t>
      </w:r>
    </w:p>
    <w:bookmarkStart w:id="42" w:name="自然因子之间的交互作用"/>
    <w:p>
      <w:pPr>
        <w:pStyle w:val="Heading4"/>
      </w:pPr>
      <w:r>
        <w:t xml:space="preserve">3.4.1 自然因子之间的交互作用</w:t>
      </w:r>
    </w:p>
    <w:p>
      <w:pPr>
        <w:pStyle w:val="FirstParagraph"/>
      </w:pPr>
      <w:r>
        <w:t xml:space="preserve">现有SHAP交互结果显示，水热和水分状态变量构成交互网络的主要联系。TMP×VSW在多个风险分组中较突出，全样本平均绝对交互值为0.00246；PRE×Runoff、VSW×Runoff和PET×TMP也参与不同风险背景下的预测分解。低风险样本中的部分有符号交互为负，中高风险样本中部分交互转为正或正向贡献增强，说明相同变量组合在不同风险背景下可能表现为补偿或叠加。</w:t>
      </w:r>
    </w:p>
    <w:p>
      <w:pPr>
        <w:pStyle w:val="BodyText"/>
      </w:pPr>
      <w:r>
        <w:t xml:space="preserve">平均绝对交互值只表示非加和关联的强度，不能说明风险增加方向。不同网络子图若采用不同色标或线宽范围，也不能直接比较连线粗细。交互方向需要依据有符号SHAP交互值和二维响应共同判断。</w:t>
      </w:r>
    </w:p>
    <w:bookmarkEnd w:id="42"/>
    <w:bookmarkStart w:id="43" w:name="地下水与植被人类活动的交互作用"/>
    <w:p>
      <w:pPr>
        <w:pStyle w:val="Heading4"/>
      </w:pPr>
      <w:r>
        <w:t xml:space="preserve">3.4.2 地下水与植被、人类活动的交互作用</w:t>
      </w:r>
    </w:p>
    <w:p>
      <w:pPr>
        <w:pStyle w:val="FirstParagraph"/>
      </w:pPr>
      <w:r>
        <w:t xml:space="preserve">VSW×NDVI和NDVI×Runoff在现有结果中较为突出，表明模型同时利用植被状态和水分条件区分风险。GWD与TMP、PET的交互在部分较高风险样本中增强，为地下水作用受水热背景调制提供了模型线索。</w:t>
      </w:r>
    </w:p>
    <w:p>
      <w:pPr>
        <w:pStyle w:val="BodyText"/>
      </w:pPr>
      <w:r>
        <w:t xml:space="preserve">GWD×NDVI和GWD×IRR的强度、方向和联合敏感区间尚未从原始交互结果中计算，不能依据生态常识补写。正式分析应比较这两组交互与GWD×TMP、GWD×PET，并报告有符号交互、平均绝对强度和样本支持范围。</w:t>
      </w:r>
    </w:p>
    <w:bookmarkEnd w:id="43"/>
    <w:bookmarkStart w:id="44" w:name="关键交互组合的风险响应特征"/>
    <w:p>
      <w:pPr>
        <w:pStyle w:val="Heading4"/>
      </w:pPr>
      <w:r>
        <w:t xml:space="preserve">3.4.3 关键交互组合的风险响应特征</w:t>
      </w:r>
    </w:p>
    <w:p>
      <w:pPr>
        <w:pStyle w:val="FirstParagraph"/>
      </w:pPr>
      <w:r>
        <w:t xml:space="preserve">现有结果说明，地下水平均贡献排序与其局地条件响应并不完全一致。TMP×VSW及植被—水分组合体现了能量背景、可用水分和生态状态的联合关联，GWD×TMP和GWD×PET则提示蒸散需求可能改变地下水埋深的模型响应范围。</w:t>
      </w:r>
    </w:p>
    <w:p>
      <w:pPr>
        <w:pStyle w:val="BodyText"/>
      </w:pPr>
      <w:r>
        <w:t xml:space="preserve">关键组合应通过统一坐标和色标的二维依赖图展示，并叠加样本密度，识别联合取值范围内的风险增强、减弱和响应转折。由于H×V本身已经包含跨分量乘积结构，SHAP交互不能整体解释为新发现的生态协同机制；只有在指标结构对照和独立生态观测支持下，才能进一步讨论具体过程。</w:t>
      </w:r>
    </w:p>
    <w:bookmarkEnd w:id="44"/>
    <w:bookmarkEnd w:id="45"/>
    <w:bookmarkEnd w:id="46"/>
    <w:bookmarkStart w:id="51" w:name="讨论"/>
    <w:p>
      <w:pPr>
        <w:pStyle w:val="Heading2"/>
      </w:pPr>
      <w:r>
        <w:t xml:space="preserve">4 讨论</w:t>
      </w:r>
    </w:p>
    <w:bookmarkStart w:id="47" w:name="地下水管理转型与湿地退化风险缓解"/>
    <w:p>
      <w:pPr>
        <w:pStyle w:val="Heading3"/>
      </w:pPr>
      <w:r>
        <w:t xml:space="preserve">4.1 地下水管理转型与湿地退化风险缓解</w:t>
      </w:r>
    </w:p>
    <w:p>
      <w:pPr>
        <w:pStyle w:val="FirstParagraph"/>
      </w:pPr>
      <w:r>
        <w:t xml:space="preserve">本研究最直接的发现不是某个变量排名第一，而是H、V与WDRI在长期变化中并不同步。2010年后WDRI低值范围大幅扩大，V高值区也持续收缩，但H在2000年后出现局部扩展并在2022年回升。这意味着综合指标能够准确报告其数学定义下的风险状态，却不能仅凭一个低值判断所有压力来源均已改善。对于R=H×V，任何一项下降都可能压低R；管理解释因而必须回到两个分量。</w:t>
      </w:r>
    </w:p>
    <w:p>
      <w:pPr>
        <w:pStyle w:val="BodyText"/>
      </w:pPr>
      <w:r>
        <w:t xml:space="preserve">这一认识对生态指标设计具有普遍意义。综合指数的优点是压缩多维信息，代价是不同变化路径可能得到相同结果。例如，H和V同时下降、H不变而V下降，或H上升但被更大的V下降抵消，都可能表现为WDRI降低。这些路径对应的治理含义并不相同：第一种指向压力与易损状态同步改善，第二种要求继续控制外部压力，第三种则提示当前状态改善可能对未来扰动仍然敏感。式（4）的分量分解和风险下降—危险性变化的符号组合，使这种差异能够被定量报告，而不需要改变原有指标体系。</w:t>
      </w:r>
    </w:p>
    <w:p>
      <w:pPr>
        <w:pStyle w:val="BodyText"/>
      </w:pPr>
      <w:r>
        <w:t xml:space="preserve">2022年98.37%的较低—低风险占比还受到评价范围的影响。研究区覆盖流域平原区，而湿地核心区仅占其中一部分；大面积非核心区的低WDRI可能提高总体低风险占比。因此，流域平原区、湿地相关范围和核心湿地必须分别汇总。只有当不同掩膜得到一致结论时，区域低风险格局才可稳健地用于湿地管理；若结论随分母改变，则应明确综合指标更适合流域筛查还是核心湿地状态评价。</w:t>
      </w:r>
    </w:p>
    <w:bookmarkEnd w:id="47"/>
    <w:bookmarkStart w:id="48" w:name="主导驱动转换及其生态水文意义"/>
    <w:p>
      <w:pPr>
        <w:pStyle w:val="Heading3"/>
      </w:pPr>
      <w:r>
        <w:t xml:space="preserve">4.2 主导驱动转换及其生态水文意义</w:t>
      </w:r>
    </w:p>
    <w:p>
      <w:pPr>
        <w:pStyle w:val="FirstParagraph"/>
      </w:pPr>
      <w:r>
        <w:t xml:space="preserve">全样本SHAP结果中，TMP、NDVI、VSW、PRE和Runoff的平均贡献居前，GWD排序相对靠后。这一排序说明模型主要利用水热、植被和水分状态区分WDRI，不能据此判定地下水的生态重要性较低。全局平均还可能弱化核心湿地和河湖影响带内的局地地下水响应。主导贡献的生态水文意义需要结合变量方向、空间位置和阶段背景解释，而不能只比较平均绝对值。</w:t>
      </w:r>
    </w:p>
    <w:p>
      <w:pPr>
        <w:pStyle w:val="BodyText"/>
      </w:pPr>
      <w:r>
        <w:t xml:space="preserve">白洋淀湿地五阶段演变表明，水库调度、降水变化和区域用水在2012年以前已经多次改变湿地状态。WDRI低值范围在2010年大幅扩大，也说明不能把此后的全部改善归于2012年制度启动。2012年的管理制度、2014年底开始的区域外调水供给及2015年后的综合治理，分别作用于需求约束、水源替代和生态补给；其实施时间和作用对象不同，产生的响应也可能具有滞后。</w:t>
      </w:r>
    </w:p>
    <w:p>
      <w:pPr>
        <w:pStyle w:val="BodyText"/>
      </w:pPr>
      <w:r>
        <w:t xml:space="preserve">地表补水能够较快增加河湖水量或改变湿地淹水条件，而深层含水层亏损的恢复通常更慢。博士论文中的地下水均衡结果也显示，浅层系统较早出现改善，深层系统长期处于亏损状态并在研究后期才接近平衡。这种时间差为H与V的非同步提供了水文解释：植被、湿地面积或生境状态可能随地表水条件较快变化，而地下水埋深和区域用水压力仍需更长时间调整。该解释符合过程逻辑，但不是单项政策的因果识别；真正的管理效应仍需更高时间分辨率数据、对照区域或准实验设计检验。</w:t>
      </w:r>
    </w:p>
    <w:p>
      <w:pPr>
        <w:pStyle w:val="BodyText"/>
      </w:pPr>
      <w:r>
        <w:t xml:space="preserve">五阶段的作用在于将典型年份放回真实历史，而不是制造五个具有充分时间重复的统计样本。每阶段仅约两期WDRI，某一丰水年或特定土地利用年份可能影响阶段均值。因此，阶段贡献比较必须保留逐年结果，并把阶段内差异与阶段间差异同时呈现。若所谓“重组”只来自一个年份，就不应上升为稳定的管理转型机制。</w:t>
      </w:r>
    </w:p>
    <w:p>
      <w:pPr>
        <w:pStyle w:val="BodyText"/>
      </w:pPr>
      <w:r>
        <w:t xml:space="preserve">如果补充结果显示，早期阶段主要由降水、径流和植被条件区分风险，而后期地下水或灌溉用水的相对贡献稳定增加，才可以讨论外部水源改善后地下水约束相对凸显的过程。反之，如果排序没有稳定翻转，仅有贡献幅度波动，则生态水文解释应限定为背景敏感性变化，而不是主导机制转换。</w:t>
      </w:r>
    </w:p>
    <w:bookmarkEnd w:id="48"/>
    <w:bookmarkStart w:id="49" w:name="非线性与交互作用对湿地退化风险形成的影响"/>
    <w:p>
      <w:pPr>
        <w:pStyle w:val="Heading3"/>
      </w:pPr>
      <w:r>
        <w:t xml:space="preserve">4.3 非线性与交互作用对湿地退化风险形成的影响</w:t>
      </w:r>
    </w:p>
    <w:p>
      <w:pPr>
        <w:pStyle w:val="FirstParagraph"/>
      </w:pPr>
      <w:r>
        <w:t xml:space="preserve">PRE、PET、TMP、VSW及GWD的非单调响应说明，模型中的风险贡献取决于变量取值区间和联合背景。水分供给不足与蒸散需求增强可能共同改变风险响应，但依赖曲线也会受到年份、空间分布和相关变量影响。TMP×VSW、VSW×NDVI及NDVI×Runoff等交互提供了条件关联证据，尚不能独立证明水热—植被之间的生态协同机制。</w:t>
      </w:r>
    </w:p>
    <w:p>
      <w:pPr>
        <w:pStyle w:val="BodyText"/>
      </w:pPr>
      <w:r>
        <w:t xml:space="preserve">GWD的全局平均SHAP排序较后，并不表示地下水对湿地不重要。全局重要性受变量分布和整个评价范围支配；当大部分网格远离湿地或地下水变化较平缓时，局部敏感区的作用可被平均值稀释。GWD与TMP、PET的条件关联也提示，同一埋深在不同蒸散需求和补给背景下可能对应不同的WDRI响应。管理上更有价值的问题因此不是GWD在全区排第几，而是哪些区域、何种水热条件下的风险响应对GWD更敏感。</w:t>
      </w:r>
    </w:p>
    <w:p>
      <w:pPr>
        <w:pStyle w:val="BodyText"/>
      </w:pPr>
      <w:r>
        <w:t xml:space="preserve">然而，14.78 m不能直接称为生态安全水位或管理阈值。首先，GWD本身是H的组成指标，SHAP曲线部分重现了指标定义；其次，树模型的弯折可能受变量相关、样本密度和空间混合影响；再次，区域网格的地下水埋深不等于湿地根区可利用水源深度。县域参考值从4.99到39.86 m的跨度进一步说明，统计曲线混合了地貌、含水层、水源条件和样本范围。将模型转折转化为生态阈值，至少需要转折附近的充分样本、重采样不确定区间、替代模型稳定性，以及湿地水位、植被群落或水文期等独立响应的对应变化。</w:t>
      </w:r>
    </w:p>
    <w:p>
      <w:pPr>
        <w:pStyle w:val="BodyText"/>
      </w:pPr>
      <w:r>
        <w:t xml:space="preserve">因此，本研究把GWD响应位置作为监测分区和过程假设生成工具。对核心湿地及河湖影响带，应结合浅层地下水、地表水位、淹水历时和植被状态开展联合监测；对农业取水集中区，应同时跟踪灌溉量与地下水恢复。这样的监测设计能够检验模型转折是否具有生态意义，也能避免把区域统计值直接转化为统一控制线。</w:t>
      </w:r>
    </w:p>
    <w:bookmarkEnd w:id="49"/>
    <w:bookmarkStart w:id="50" w:name="地下水管理与湿地恢复启示及不确定性"/>
    <w:p>
      <w:pPr>
        <w:pStyle w:val="Heading3"/>
      </w:pPr>
      <w:r>
        <w:t xml:space="preserve">4.4 地下水管理与湿地恢复启示及不确定性</w:t>
      </w:r>
    </w:p>
    <w:p>
      <w:pPr>
        <w:pStyle w:val="FirstParagraph"/>
      </w:pPr>
      <w:r>
        <w:t xml:space="preserve">管理评价首先应同时发布WDRI、H和V，而不是只发布综合风险等级。对于WDRI下降且H同步下降的区域，可重点检验生态状态是否随压力缓解持续改善；对于WDRI下降但H未下降的区域，应继续监测取水、地下水埋深和补给条件，避免脆弱性暂时改善掩盖压力累积。对于H下降但V未改善的区域，则需关注景观连通、生境质量和恢复滞后。分量方向比单一风险等级更接近具体管理行动。</w:t>
      </w:r>
    </w:p>
    <w:p>
      <w:pPr>
        <w:pStyle w:val="BodyText"/>
      </w:pPr>
      <w:r>
        <w:t xml:space="preserve">其次，风险评价应针对不同空间对象报告结果。流域平原区适合识别宏观压力格局，湿地相关范围适合评价河湖—农田过渡带，核心湿地范围则用于判断直接生态状态。三种尺度共享相同计算规则，但不能共享一个面积百分比替代彼此。统一分级断点有助于比较等级变化，统一标准化标尺和有效掩膜则是解释连续变化的必要条件。</w:t>
      </w:r>
    </w:p>
    <w:p>
      <w:pPr>
        <w:pStyle w:val="BodyText"/>
      </w:pPr>
      <w:r>
        <w:t xml:space="preserve">最后，机器学习在本研究中的作用是揭示指标响应的条件性，而不是替代水文生态机制分析。未来若获得未参与WDRI构建的植被监测、湿地水文期或后续遥感退化资料，可将其作为独立响应，检验分量改善是否对应真实生态恢复。若没有独立资料，论文仍可稳健讨论H、V和WDRI的指标演变，但应删除“生态阈值”</w:t>
      </w:r>
      <w:r>
        <w:t xml:space="preserve">“</w:t>
      </w:r>
      <w:r>
        <w:t xml:space="preserve">因果驱动</w:t>
      </w:r>
      <w:r>
        <w:t xml:space="preserve">”</w:t>
      </w:r>
      <w:r>
        <w:t xml:space="preserve">和“政策净效应”等超出证据的表述。</w:t>
      </w:r>
    </w:p>
    <w:p>
      <w:pPr>
        <w:pStyle w:val="BodyText"/>
      </w:pPr>
      <w:r>
        <w:t xml:space="preserve">本研究的主要限制包括：10期典型年不足以精确识别相邻政策节点的短期效应；随机样本划分可能高估空间和跨期迁移能力；历史遥感与用水数据的覆盖和重建会传递不确定性；水文模型可能平滑局地和季节变化；指标权重、标准化范围与研究掩膜可能影响综合结果。上述限制主要约束阶段差异、空间外推和转折精度，不改变对乘积型指标进行分量解释的必要性。</w:t>
      </w:r>
    </w:p>
    <w:bookmarkEnd w:id="50"/>
    <w:bookmarkEnd w:id="51"/>
    <w:bookmarkStart w:id="52" w:name="结论"/>
    <w:p>
      <w:pPr>
        <w:pStyle w:val="Heading2"/>
      </w:pPr>
      <w:r>
        <w:t xml:space="preserve">5 结论</w:t>
      </w:r>
    </w:p>
    <w:p>
      <w:pPr>
        <w:pStyle w:val="FirstParagraph"/>
      </w:pPr>
      <w:r>
        <w:t xml:space="preserve">（1）1980—2022年，白洋淀流域平原区WDRI总体下降，但危险性、脆弱性和综合风险并不同步。危险性高值斑块在2000年后局部扩展并于2022年回升，脆弱性高值区在2010年后收缩。2022年较低—低风险区占98.37%，该比例描述评价区WDRI等级构成，不能等同于湿地恢复率或外部压力解除比例。</w:t>
      </w:r>
    </w:p>
    <w:p>
      <w:pPr>
        <w:pStyle w:val="BodyText"/>
      </w:pPr>
      <w:r>
        <w:t xml:space="preserve">（2）H、V与WDRI的非同步表明，综合风险等级不能单独回答改善来自危险性减轻还是脆弱性变化。对R=H×V实施逐网格对称分解，并识别</w:t>
      </w:r>
      <m:oMath>
        <m:r>
          <m:t>Δ</m:t>
        </m:r>
        <m:r>
          <m:t>R</m:t>
        </m:r>
        <m:r>
          <m:rPr>
            <m:sty m:val="p"/>
          </m:rPr>
          <m:t>&lt;</m:t>
        </m:r>
        <m:r>
          <m:t>0</m:t>
        </m:r>
      </m:oMath>
      <w:r>
        <w:t xml:space="preserve">而</w:t>
      </w:r>
      <m:oMath>
        <m:r>
          <m:t>Δ</m:t>
        </m:r>
        <m:r>
          <m:t>H</m:t>
        </m:r>
        <m:r>
          <m:rPr>
            <m:sty m:val="p"/>
          </m:rPr>
          <m:t>≥</m:t>
        </m:r>
        <m:r>
          <m:t>0</m:t>
        </m:r>
      </m:oMath>
      <w:r>
        <w:t xml:space="preserve">的区域，是区分风险与危险性同步下降和脆弱性改善抵消持续压力两种情形所必需的分析。在该结果完成前，不形成“风险改善来源转换”或“压力遮蔽”的定量结论。</w:t>
      </w:r>
    </w:p>
    <w:p>
      <w:pPr>
        <w:pStyle w:val="BodyText"/>
      </w:pPr>
      <w:r>
        <w:t xml:space="preserve">（3）地下水埋深与WDRI的模型关联具有非线性和空间差异，全样本响应在约14.78 m附近出现斜率调整，并受水热条件影响。该数值是现有模型与样本中的统计参考位置，不是经独立生态证据验证的安全水位。地下水管理应依据分量变化、核心湿地区域和联合水文生态监测确定分区目标。</w:t>
      </w:r>
    </w:p>
    <w:p>
      <w:pPr>
        <w:pStyle w:val="BodyText"/>
      </w:pPr>
      <w:r>
        <w:t xml:space="preserve">（4）综合生态指标用于治理评价时，应同时满足跨期标尺一致、组成分量可追溯和外部生态验证三个条件。本文的重构重点由“模型解释了哪些驱动”转向“风险改善由什么构成、哪些压力仍然存在”，从而使WDRI的管理解释与其证据边界相匹配。</w:t>
      </w:r>
    </w:p>
    <w:bookmarkEnd w:id="52"/>
    <w:bookmarkStart w:id="53" w:name="图表配置"/>
    <w:p>
      <w:pPr>
        <w:pStyle w:val="Heading2"/>
      </w:pPr>
      <w:r>
        <w:t xml:space="preserve">图表配置</w:t>
      </w:r>
    </w:p>
    <w:p>
      <w:pPr>
        <w:pStyle w:val="FirstParagraph"/>
      </w:pPr>
      <w:r>
        <w:t xml:space="preserve">图1 研究区、三类分析掩膜与地下水管理—补水时间线。</w:t>
      </w:r>
    </w:p>
    <w:p>
      <w:pPr>
        <w:pStyle w:val="BodyText"/>
      </w:pPr>
      <w:r>
        <w:t xml:space="preserve">图2 1980—2022年H、V和WDRI空间格局及关键年份面积变化。</w:t>
      </w:r>
    </w:p>
    <w:p>
      <w:pPr>
        <w:pStyle w:val="BodyText"/>
      </w:pPr>
      <w:r>
        <w:t xml:space="preserve">图3 相邻期WDRI变化的H/V分量分解；流域平原区、湿地相关范围和核心湿地并列。</w:t>
      </w:r>
    </w:p>
    <w:p>
      <w:pPr>
        <w:pStyle w:val="BodyText"/>
      </w:pPr>
      <w:r>
        <w:t xml:space="preserve">图4 风险下降与危险性变化的空间组合，突出</w:t>
      </w:r>
      <m:oMath>
        <m:r>
          <m:t>Δ</m:t>
        </m:r>
        <m:r>
          <m:t>R</m:t>
        </m:r>
        <m:r>
          <m:rPr>
            <m:sty m:val="p"/>
          </m:rPr>
          <m:t>&lt;</m:t>
        </m:r>
        <m:r>
          <m:t>0</m:t>
        </m:r>
        <m:r>
          <m:rPr>
            <m:sty m:val="p"/>
          </m:rPr>
          <m:t>,</m:t>
        </m:r>
        <m:r>
          <m:t>Δ</m:t>
        </m:r>
        <m:r>
          <m:t>H</m:t>
        </m:r>
        <m:r>
          <m:rPr>
            <m:sty m:val="p"/>
          </m:rPr>
          <m:t>≥</m:t>
        </m:r>
        <m:r>
          <m:t>0</m:t>
        </m:r>
      </m:oMath>
      <w:r>
        <w:t xml:space="preserve">区域。</w:t>
      </w:r>
    </w:p>
    <w:p>
      <w:pPr>
        <w:pStyle w:val="BodyText"/>
      </w:pPr>
      <w:r>
        <w:t xml:space="preserve">图5 逐年和五阶段SHAP贡献结构及主导贡献空间变化；附验证稳定性。</w:t>
      </w:r>
    </w:p>
    <w:p>
      <w:pPr>
        <w:pStyle w:val="BodyText"/>
      </w:pPr>
      <w:r>
        <w:t xml:space="preserve">图6 GWD条件响应、样本密度、不确定区间及关键水热交互。</w:t>
      </w:r>
    </w:p>
    <w:p>
      <w:pPr>
        <w:pStyle w:val="BodyText"/>
      </w:pPr>
      <w:r>
        <w:t xml:space="preserve">表1 数据来源、分辨率、时段、聚合方式与不确定性。</w:t>
      </w:r>
    </w:p>
    <w:p>
      <w:pPr>
        <w:pStyle w:val="BodyText"/>
      </w:pPr>
      <w:r>
        <w:t xml:space="preserve">表2 H/V指标方向、权重、标准化范围与数据来源。</w:t>
      </w:r>
    </w:p>
    <w:p>
      <w:pPr>
        <w:pStyle w:val="BodyText"/>
      </w:pPr>
      <w:r>
        <w:t xml:space="preserve">表3 典型年份风险等级面积。</w:t>
      </w:r>
    </w:p>
    <w:p>
      <w:pPr>
        <w:pStyle w:val="BodyText"/>
      </w:pPr>
      <w:r>
        <w:t xml:space="preserve">表4 各时期H/V变化分量及不同掩膜汇总。</w:t>
      </w:r>
    </w:p>
    <w:bookmarkEnd w:id="53"/>
    <w:bookmarkStart w:id="54" w:name="参考文献沿用博士论文条目投稿前逐篇核验"/>
    <w:p>
      <w:pPr>
        <w:pStyle w:val="Heading2"/>
      </w:pPr>
      <w:r>
        <w:t xml:space="preserve">参考文献（沿用博士论文条目，投稿前逐篇核验）</w:t>
      </w:r>
    </w:p>
    <w:p>
      <w:pPr>
        <w:pStyle w:val="FirstParagraph"/>
      </w:pPr>
      <w:r>
        <w:t xml:space="preserve">[1] 艾彬, 徐晓苹, 马世发, 等. 2035年珠江三角洲核心区湿地退化风险评估研究. 湿地科学, 2020, 18(3): 320—327.</w:t>
      </w:r>
    </w:p>
    <w:p>
      <w:pPr>
        <w:pStyle w:val="BodyText"/>
      </w:pPr>
      <w:r>
        <w:t xml:space="preserve">[2] 李超, 李雪梅, 罗栋梁, 等. 开都河上游高寒湿地退化风险评估. 湿地科学, 2020, 18(2): 173—182.</w:t>
      </w:r>
    </w:p>
    <w:p>
      <w:pPr>
        <w:pStyle w:val="BodyText"/>
      </w:pPr>
      <w:r>
        <w:t xml:space="preserve">[3] Li Y, Lu C, Liu G, et al. Risk assessment of wetland degradation in the Xiong’an New Area based on AHP-EWM-ICT method. Ecological Indicators, 2023, 153: 110443.</w:t>
      </w:r>
    </w:p>
    <w:p>
      <w:pPr>
        <w:pStyle w:val="BodyText"/>
      </w:pPr>
      <w:r>
        <w:t xml:space="preserve">[4] 吕金霞, 蒋卫国, 王文杰, 等. 近30年来京津冀地区湿地景观变化及其驱动因素. 生态学报, 2018, 38(12): 4492—4503.</w:t>
      </w:r>
    </w:p>
    <w:p>
      <w:pPr>
        <w:pStyle w:val="BodyText"/>
      </w:pPr>
      <w:r>
        <w:t xml:space="preserve">[5] 张敏, 宫兆宁, 赵文吉, 等. 近30年来白洋淀湿地景观格局变化及其驱动机制. 生态学报, 2016, 36(15): 4780—4791.</w:t>
      </w:r>
    </w:p>
    <w:p>
      <w:pPr>
        <w:pStyle w:val="BodyText"/>
      </w:pPr>
      <w:r>
        <w:t xml:space="preserve">[6] Qiao B, Yang H, Cao X, et al. Driving mechanisms and threshold identification of landscape ecological risk: A nonlinear perspective from the Qilian Mountains, China. Ecological Indicators, 2025, 173: 113342.</w:t>
      </w:r>
    </w:p>
    <w:p>
      <w:pPr>
        <w:pStyle w:val="BodyText"/>
      </w:pPr>
      <w:r>
        <w:t xml:space="preserve">[7] Mo T, Li S, Li G. An interpretable machine learning model for predicting cavity water depth and cavity length based on XGBoost–SHAP. Journal of Hydroinformatics, 2023, 25(4): 1488—1500.</w:t>
      </w:r>
    </w:p>
    <w:p>
      <w:pPr>
        <w:pStyle w:val="BodyText"/>
      </w:pPr>
      <w:r>
        <w:t xml:space="preserve">[8] 宋炎炎, 张奇, 姜三元, 等. 鄱阳湖湿地地下水埋深及其与典型植被群落分布的关系. 应用生态学报, 2021, 32(1): 123—133.</w:t>
      </w:r>
    </w:p>
    <w:p>
      <w:pPr>
        <w:pStyle w:val="BodyText"/>
      </w:pPr>
      <w:r>
        <w:t xml:space="preserve">[9] Wang M, Xu B, Zhang C, et al. Evaluation of Multiple Groundwater Management Targets by Applying Frequency, Duration, and Magnitude Metrics to Water Table Depth Targets. Water Resources Research, 2025, 61(4): e2023WR036730.</w:t>
      </w:r>
    </w:p>
    <w:p>
      <w:pPr>
        <w:pStyle w:val="BodyText"/>
      </w:pPr>
      <w:r>
        <w:t xml:space="preserve">[10] 徐新良, 刘纪远, 张树文, 等. 中国多时期土地利用土地覆被遥感监测数据集（CNLUCC）. 资源环境科学数据注册与出版系统, 2018.</w:t>
      </w:r>
    </w:p>
    <w:p>
      <w:pPr>
        <w:pStyle w:val="BodyText"/>
      </w:pPr>
      <w:r>
        <w:t xml:space="preserve">[11] Zhang Y, Yin Y, Yin M, et al. A High-Resolution Gridded Dataset for China’s Monthly Sectoral Water Use. Scientific Data, 2025, 12(1): 1157.</w:t>
      </w:r>
    </w:p>
    <w:p>
      <w:pPr>
        <w:pStyle w:val="BodyText"/>
      </w:pPr>
      <w:r>
        <w:t xml:space="preserve">[12] Chen T, Guestrin C. XGBoost: A Scalable Tree Boosting System. Proceedings of the 22nd ACM SIGKDD International Conference on Knowledge Discovery and Data Mining, 2016: 785—794.</w:t>
      </w:r>
    </w:p>
    <w:bookmarkEnd w:id="54"/>
    <w:bookmarkEnd w:id="55"/>
    <w:sectPr w:rsidR="00FC693F" w:rsidRPr="0006063C" w:rsidSect="00034616">
      <w:footerReference r:id="rId9" w:type="default"/>
      <w:pgSz w:h="16838" w:w="11906"/>
      <w:pgMar w:bottom="1247" w:footer="720" w:gutter="0" w:header="720" w:left="1417" w:right="141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line="324" w:lineRule="auto"/>
      <w:ind w:firstLine="420"/>
    </w:pPr>
    <w:rPr>
      <w:rFonts w:ascii="Times New Roman" w:eastAsia="Noto Serif CJK SC" w:hAnsi="Times New Roman"/>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line="276" w:lineRule="auto"/>
      <w:ind w:firstLine="0"/>
      <w:outlineLvl w:val="0"/>
    </w:pPr>
    <w:rPr>
      <w:rFonts w:ascii="Times New Roman" w:eastAsia="Noto Sans CJK SC" w:hAnsi="Times New Roman"/>
      <w:b/>
      <w:bCs/>
      <w:i w:val="0"/>
      <w:color w:val="000000"/>
      <w:sz w:val="26"/>
      <w:szCs w:val="28"/>
    </w:rPr>
  </w:style>
  <w:style w:styleId="Heading2" w:type="paragraph">
    <w:name w:val="heading 2"/>
    <w:basedOn w:val="Normal"/>
    <w:next w:val="Normal"/>
    <w:link w:val="Heading2Char"/>
    <w:uiPriority w:val="9"/>
    <w:unhideWhenUsed/>
    <w:qFormat/>
    <w:rsid w:val="00FC693F"/>
    <w:pPr>
      <w:keepNext/>
      <w:keepLines/>
      <w:spacing w:after="100" w:before="200" w:line="276" w:lineRule="auto"/>
      <w:ind w:firstLine="0"/>
      <w:outlineLvl w:val="1"/>
    </w:pPr>
    <w:rPr>
      <w:rFonts w:ascii="Times New Roman" w:eastAsia="Noto Sans CJK SC" w:hAnsi="Times New Roman"/>
      <w:b/>
      <w:bCs/>
      <w:i w:val="0"/>
      <w:color w:val="000000"/>
      <w:sz w:val="23"/>
      <w:szCs w:val="26"/>
    </w:rPr>
  </w:style>
  <w:style w:styleId="Heading3" w:type="paragraph">
    <w:name w:val="heading 3"/>
    <w:basedOn w:val="Normal"/>
    <w:next w:val="Normal"/>
    <w:link w:val="Heading3Char"/>
    <w:uiPriority w:val="9"/>
    <w:unhideWhenUsed/>
    <w:qFormat/>
    <w:rsid w:val="00FC693F"/>
    <w:pPr>
      <w:keepNext/>
      <w:keepLines/>
      <w:spacing w:after="100" w:before="200" w:line="276" w:lineRule="auto"/>
      <w:ind w:firstLine="0"/>
      <w:outlineLvl w:val="2"/>
    </w:pPr>
    <w:rPr>
      <w:rFonts w:ascii="Times New Roman" w:eastAsia="Noto Sans CJK SC" w:hAnsi="Times New Roman"/>
      <w:b/>
      <w:bCs/>
      <w:i w:val="0"/>
      <w:color w:val="00000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val="0"/>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220" w:before="0" w:line="276" w:lineRule="auto"/>
      <w:ind w:firstLine="0"/>
      <w:contextualSpacing/>
      <w:jc w:val="center"/>
    </w:pPr>
    <w:rPr>
      <w:rFonts w:ascii="Times New Roman" w:eastAsia="Noto Sans CJK SC" w:hAnsi="Times New Roman"/>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ending" w:type="paragraph">
    <w:name w:val="Pending"/>
    <w:basedOn w:val="Normal"/>
    <w:pPr>
      <w:spacing w:after="100" w:line="288" w:lineRule="auto"/>
      <w:ind w:firstLine="0"/>
    </w:pPr>
    <w:rPr>
      <w:rFonts w:ascii="Times New Roman" w:eastAsia="Noto Serif CJK SC" w:hAnsi="Times New Roman"/>
      <w:b w:val="0"/>
      <w:color w:val="801818"/>
      <w:sz w:val="19"/>
    </w:rPr>
  </w:style>
  <w:style w:customStyle="1" w:styleId="TableText" w:type="paragraph">
    <w:name w:val="Table Text"/>
    <w:basedOn w:val="Normal"/>
    <w:pPr>
      <w:spacing w:after="0" w:line="288" w:lineRule="auto"/>
      <w:ind w:firstLine="0"/>
    </w:pPr>
    <w:rPr>
      <w:rFonts w:ascii="Times New Roman" w:eastAsia="Noto Serif CJK SC" w:hAnsi="Times New Roman"/>
      <w:b w:val="0"/>
      <w:color w:val="000000"/>
      <w:sz w:val="18"/>
    </w:rPr>
  </w:style>
  <w:style w:customStyle="1" w:styleId="TableCaption" w:type="paragraph">
    <w:name w:val="Table Caption"/>
    <w:basedOn w:val="Normal"/>
    <w:pPr>
      <w:keepNext/>
      <w:spacing w:after="100" w:line="288" w:lineRule="auto"/>
      <w:ind w:firstLine="0"/>
    </w:pPr>
    <w:rPr>
      <w:rFonts w:ascii="Times New Roman" w:eastAsia="Noto Serif CJK SC" w:hAnsi="Times New Roman"/>
      <w:b/>
      <w:color w:val="000000"/>
      <w:sz w:val="19"/>
    </w:rPr>
  </w:style>
  <w:style w:customStyle="1" w:styleId="Reference" w:type="paragraph">
    <w:name w:val="Reference"/>
    <w:basedOn w:val="Normal"/>
    <w:pPr>
      <w:spacing w:after="40" w:line="264" w:lineRule="auto"/>
      <w:ind w:hanging="397" w:left="397"/>
    </w:pPr>
    <w:rPr>
      <w:rFonts w:ascii="Times New Roman" w:eastAsia="Noto Serif CJK SC" w:hAnsi="Times New Roman"/>
      <w:b w:val="0"/>
      <w:color w:val="000000"/>
      <w:sz w:val="19"/>
    </w:rPr>
  </w:style>
  <w:style w:customStyle="1" w:styleId="Equation" w:type="paragraph">
    <w:name w:val="Equation"/>
    <w:basedOn w:val="Normal"/>
    <w:pPr>
      <w:spacing w:after="100" w:line="288" w:lineRule="auto"/>
      <w:ind w:firstLine="0"/>
      <w:jc w:val="center"/>
    </w:pPr>
    <w:rPr>
      <w:rFonts w:ascii="Times New Roman" w:eastAsia="Noto Serif CJK SC" w:hAnsi="Times New Roman"/>
      <w:b w:val="0"/>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2026-10-22T09:34:49Z</dcterms:created>
  <dcterms:modified xsi:type="dcterms:W3CDTF">2026-10-22T09:34:49Z</dcterms:modified>
</cp:coreProperties>
</file>

<file path=docProps/custom.xml><?xml version="1.0" encoding="utf-8"?>
<Properties xmlns="http://schemas.openxmlformats.org/officeDocument/2006/custom-properties" xmlns:vt="http://schemas.openxmlformats.org/officeDocument/2006/docPropsVTypes"/>
</file>