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7F43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4"/>
          <w:szCs w:val="44"/>
        </w:rPr>
      </w:pPr>
      <w:r>
        <w:rPr>
          <w:rFonts w:ascii="Arial" w:hAnsi="Arial" w:eastAsia="等线" w:cs="Arial"/>
          <w:b/>
          <w:sz w:val="44"/>
          <w:szCs w:val="44"/>
        </w:rPr>
        <w:t>五行论在因果估计效应领域的应用研究</w:t>
      </w:r>
      <w:bookmarkStart w:id="0" w:name="heading_0"/>
      <w:bookmarkEnd w:id="0"/>
      <w:bookmarkStart w:id="1" w:name="heading_1"/>
    </w:p>
    <w:p w14:paraId="722DF78E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32"/>
        </w:rPr>
        <w:t>摘要</w:t>
      </w:r>
      <w:bookmarkEnd w:id="1"/>
    </w:p>
    <w:p w14:paraId="360BDC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解决传统因果估计模型在异质性处理、跨域适应性及噪声鲁棒性方面的缺陷，本文将中国传统五行论与现代因果推断理论相结合，构建基于五行平衡度的因果估计模型。以银行客户数据和模拟电商客户数据为研究样本，采用交叉验证、跨域验证、消融实验、特征重要性与噪声鲁棒性验证、业务逻辑验证的五维验证体系，结合双重机器学习（DML）与集成学习算法，对模型性能进行系统评估。实验结果表明，五行模型在ATE（平均处理效应）偏差控制、稳定性及泛化能力上显著优于传统模型：银行场景下，五行模型通过5折交叉验证的ATE平均偏差降至56.21，偏差降低幅度达89.8%；电商跨域场景中，五行模型ATE偏差降至10.87，偏差降低幅度超92.3%；在10%噪声数据中，五行模型偏差增幅为-93.3%（偏差进一步降低），展现出优异的抗干扰能力。五行平衡度作为核心特征，在特征重要性排序中得分达1808，远超其他特征，验证了其作为核心解释变量的有效性。本研究为因果估计提供了新的理论视角，为跨场景因果推断问题提供了可行解决方案。</w:t>
      </w:r>
    </w:p>
    <w:p w14:paraId="6EEE7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关键词：五行论；因果估计；ATE；双重机器学习；集成学习；噪声鲁棒性；跨域验证</w:t>
      </w:r>
    </w:p>
    <w:p w14:paraId="6776662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一、引言</w:t>
      </w:r>
      <w:bookmarkEnd w:id="2"/>
    </w:p>
    <w:p w14:paraId="23D1804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1.1 研究背景与问题提出</w:t>
      </w:r>
      <w:bookmarkEnd w:id="3"/>
    </w:p>
    <w:p w14:paraId="6B84F3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果估计作为机器学习与计量经济学的交叉核心领域，其核心目标是精准识别处理变量与结果变量间的因果关联，其中ATE的准确估计对政策评估、营销干预等实际场景具有重要指导意义。然而当前主流模型面临三大瓶颈：一是个体异质性导致的选择偏差，传统OLS方法对ATE的估计偏差明显；二是跨域适应性差，单一场景训练的模型在其他场景中性能衰减严重；三是噪声鲁棒性不足，真实数据中的干扰信息易导致估计结果失真。</w:t>
      </w:r>
    </w:p>
    <w:p w14:paraId="2F999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行论作为中国传统哲学的核心思想，以“金木水火土”的相生相克规律解释系统内各要素的平衡与互动关系，其整体观与动态平衡思想与因果系统中多特征交互的本质高度契合。本文基于此提出假设：将客户特征映射为五行维度并构建平衡度指标（引入平滑系数优化稳定性），可有效捕捉变量间的隐性关联，结合双重机器学习与集成学习算法，能显著提升因果估计的稳定性与泛化能力。</w:t>
      </w:r>
    </w:p>
    <w:p w14:paraId="631477D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1.2 文献综述</w:t>
      </w:r>
      <w:bookmarkEnd w:id="4"/>
    </w:p>
    <w:p w14:paraId="6C90C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在因果估计领域，任兆璋等在教育收益率的微观计量分析中证实，忽略样本异质性会导致估计结果偏差显著，普通最小二乘法与传统工具变量法所得的估计量存在非一致性问题 [2]。Pearl 提出的 DAG（因果图）框架通过变量间的图形化关联解决内生性问题，但在高维特征场景下易出现结构识别困难；Rubin 的潜在结果模型（反事实框架）通过 AB 实验设计构造因果效应估计量，但其有效性依赖严格的随机分配假设，在观测数据中难以满足。Wang 等针对内生性暴露场景的研究进一步指出，内生性与未观测混杂因素是当前因果推断的主要挑战，现有方法多依赖辅助变量或强参数假设，且缺乏对系统层面动态平衡关系的捕捉，实用性与泛化性受限 [1]。本文的创新点在于：一是构建五行特征映射体系，将抽象哲学概念转化为可量化的平衡度指标，并引入平滑系数降低波动；二是结合双重机器学习与LGBM、XGBoost集成算法，提升模型对非线性关系的拟合能力；三是建立五维验证体系，从稳定性、泛化性、鲁棒性等维度全面验证模型性能，符合现代实证研究规范。</w:t>
      </w:r>
    </w:p>
    <w:p w14:paraId="55C256A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1.3 研究内容与结构</w:t>
      </w:r>
      <w:bookmarkEnd w:id="5"/>
    </w:p>
    <w:p w14:paraId="77F09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本文首先构建五行 - 特征映射框架与平衡度计算模型（含平滑优化）；其次设计多场景实验方案，采用银行真实数据与模拟电商数据进行双场景验证；再者结合双重机器学习实现因果效应估计，通过集成学习进一步优化模型性能；最后通过五维验证体系，系统对比五行模型与传统模型的性能差异。论文后续章节按“理论基础 - 模型构建 - 实验设计 - 结果分析 - 结论”的逻辑展开。</w:t>
      </w:r>
    </w:p>
    <w:p w14:paraId="6FA27CC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二、理论基础</w:t>
      </w:r>
      <w:bookmarkEnd w:id="6"/>
    </w:p>
    <w:p w14:paraId="5BEB06F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 因果估计核心概念</w:t>
      </w:r>
      <w:bookmarkEnd w:id="7"/>
    </w:p>
    <w:p w14:paraId="0B805B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ATE表示随机选择个体接受处理后的平均效应，定义为</w:t>
      </w:r>
      <m:oMath>
        <m:r>
          <m:rPr/>
          <w:rPr>
            <w:rFonts w:hint="default" w:ascii="Cambria Math" w:hAnsi="Cambria Math" w:eastAsia="等线"/>
            <w:sz w:val="22"/>
          </w:rPr>
          <m:t>ATE=E(</m:t>
        </m:r>
        <m:r>
          <m:rPr>
            <m:sty m:val="p"/>
          </m:rPr>
          <w:rPr>
            <w:rFonts w:hint="default" w:ascii="Cambria Math" w:hAnsi="Cambria Math" w:eastAsia="等线"/>
            <w:sz w:val="22"/>
          </w:rPr>
          <m:t>Δ</m:t>
        </m:r>
        <m:r>
          <m:rPr/>
          <w:rPr>
            <w:rFonts w:hint="default" w:ascii="Cambria Math" w:hAnsi="Cambria Math" w:eastAsia="等线"/>
            <w:sz w:val="22"/>
          </w:rPr>
          <m:t>|X)=E(β|X)</m:t>
        </m:r>
      </m:oMath>
      <w:r>
        <w:rPr>
          <w:rFonts w:ascii="Arial" w:hAnsi="Arial" w:eastAsia="等线" w:cs="Arial"/>
          <w:sz w:val="22"/>
        </w:rPr>
        <w:t>，其中Δ为个体处理效应，X为特征向量。传统模型常因忽略个体异质性导致ATE估计偏差，而本文采用的双重机器学习通过交叉拟合（Cross - fitting）分离协变量影响，计算结果变量与处理变量的残差，再通过OLS回归估计ATE，有效降低选择偏差，搭配集成学习后可进一步提升模型对复杂数据的适配能力。</w:t>
      </w:r>
    </w:p>
    <w:p w14:paraId="1B974CB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 五行论核心思想与映射逻辑</w:t>
      </w:r>
      <w:bookmarkEnd w:id="8"/>
    </w:p>
    <w:p w14:paraId="2BA14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五行论的核心是“相生相克、动态平衡”，即系统内各要素通过相生与相克关系维持稳定。结合因果估计场景及实验数据特征，本文建立精准的“特征 - 五行”映射体系，并对应代码中具体特征计算方式：</w:t>
      </w:r>
    </w:p>
    <w:p w14:paraId="716E3D45">
      <w:pPr>
        <w:numPr>
          <w:numId w:val="0"/>
        </w:numPr>
        <w:spacing w:before="120" w:after="120" w:line="288" w:lineRule="auto"/>
        <w:jc w:val="left"/>
      </w:pPr>
      <w:bookmarkStart w:id="28" w:name="_GoBack"/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金</w:t>
      </w:r>
      <w:bookmarkEnd w:id="28"/>
      <w:r>
        <w:rPr>
          <w:rFonts w:ascii="Arial" w:hAnsi="Arial" w:eastAsia="等线" w:cs="Arial"/>
          <w:sz w:val="22"/>
        </w:rPr>
        <w:t>：对应客户信用匹配特征，通过收入等级与卡等级计算金属匹配分</w:t>
      </w:r>
      <m:oMath>
        <m:r>
          <m:rPr>
            <m:sty m:val="p"/>
          </m:rPr>
          <w:rPr>
            <w:rFonts w:hint="default" w:ascii="Cambria Math" w:hAnsi="Cambria Math" w:eastAsia="等线"/>
            <w:sz w:val="22"/>
          </w:rPr>
          <m:t>（</m:t>
        </m:r>
        <m:r>
          <m:rPr/>
          <w:rPr>
            <w:rFonts w:hint="default" w:ascii="Cambria Math" w:hAnsi="Cambria Math" w:eastAsia="等线"/>
            <w:sz w:val="22"/>
          </w:rPr>
          <m:t>meta</m:t>
        </m:r>
        <m:sSub>
          <m:sSubPr>
            <m:ctrlPr>
              <w:rPr>
                <w:rFonts w:hint="default" w:ascii="Cambria Math" w:hAnsi="Cambria Math" w:eastAsia="等线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等线"/>
                <w:sz w:val="22"/>
              </w:rPr>
              <m:t>l</m:t>
            </m:r>
            <m:ctrlPr>
              <w:rPr>
                <w:rFonts w:ascii="Cambria Math" w:hAnsi="Cambria Math" w:eastAsia="等线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等线"/>
                <w:sz w:val="22"/>
              </w:rPr>
              <m:t>m</m:t>
            </m:r>
            <m:ctrlPr>
              <w:rPr>
                <w:rFonts w:ascii="Cambria Math" w:hAnsi="Cambria Math" w:eastAsia="等线"/>
                <w:sz w:val="22"/>
              </w:rPr>
            </m:ctrlPr>
          </m:sub>
        </m:sSub>
        <m:r>
          <m:rPr/>
          <w:rPr>
            <w:rFonts w:hint="default" w:ascii="Cambria Math" w:hAnsi="Cambria Math" w:eastAsia="等线"/>
            <w:sz w:val="22"/>
          </w:rPr>
          <m:t>atc</m:t>
        </m:r>
        <m:sSub>
          <m:sSubPr>
            <m:ctrlPr>
              <w:rPr>
                <w:rFonts w:hint="default" w:ascii="Cambria Math" w:hAnsi="Cambria Math" w:eastAsia="等线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等线"/>
                <w:sz w:val="22"/>
              </w:rPr>
              <m:t>h</m:t>
            </m:r>
            <m:ctrlPr>
              <w:rPr>
                <w:rFonts w:ascii="Cambria Math" w:hAnsi="Cambria Math" w:eastAsia="等线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等线"/>
                <w:sz w:val="22"/>
              </w:rPr>
              <m:t>s</m:t>
            </m:r>
            <m:ctrlPr>
              <w:rPr>
                <w:rFonts w:ascii="Cambria Math" w:hAnsi="Cambria Math" w:eastAsia="等线"/>
                <w:sz w:val="22"/>
              </w:rPr>
            </m:ctrlPr>
          </m:sub>
        </m:sSub>
        <m:r>
          <m:rPr/>
          <w:rPr>
            <w:rFonts w:hint="default" w:ascii="Cambria Math" w:hAnsi="Cambria Math" w:eastAsia="等线"/>
            <w:sz w:val="22"/>
          </w:rPr>
          <m:t>core</m:t>
        </m:r>
        <m:r>
          <m:rPr>
            <m:sty m:val="p"/>
          </m:rPr>
          <w:rPr>
            <w:rFonts w:hint="default" w:ascii="Cambria Math" w:hAnsi="Cambria Math" w:eastAsia="等线"/>
            <w:sz w:val="22"/>
          </w:rPr>
          <m:t>）</m:t>
        </m:r>
      </m:oMath>
      <w:r>
        <w:rPr>
          <w:rFonts w:ascii="Arial" w:hAnsi="Arial" w:eastAsia="等线" w:cs="Arial"/>
          <w:sz w:val="22"/>
        </w:rPr>
        <w:t>，体现“收敛”属性。收入等级按不同收入区间映射为1 - 5分，卡等级按卡片类型映射为1 - 4分，匹配分通过1减去收入等级与卡等级的绝对偏差占比计算得出。</w:t>
      </w:r>
    </w:p>
    <w:p w14:paraId="51738AF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木</w:t>
      </w:r>
      <w:r>
        <w:rPr>
          <w:rFonts w:ascii="Arial" w:hAnsi="Arial" w:eastAsia="等线" w:cs="Arial"/>
          <w:sz w:val="22"/>
        </w:rPr>
        <w:t>：对应客户交易效率特征，计算交易效率值（wood_trans_efficiency），体现“生长”属性。该指标由总交易金额与总交易次数的比值，结合交易次数的对数权重计算得到。</w:t>
      </w:r>
    </w:p>
    <w:p w14:paraId="769E321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3.水</w:t>
      </w:r>
      <w:r>
        <w:rPr>
          <w:rFonts w:ascii="Arial" w:hAnsi="Arial" w:eastAsia="等线" w:cs="Arial"/>
          <w:sz w:val="22"/>
        </w:rPr>
        <w:t>：对应客户流水稳定特征，构建流水稳定性指标（water_flow_stability），体现“灵动”属性。通过1减去季度交易金额变化率与1的绝对偏差计算，取值范围限制在0 - 1之间。</w:t>
      </w:r>
    </w:p>
    <w:p w14:paraId="7B91409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4.火</w:t>
      </w:r>
      <w:r>
        <w:rPr>
          <w:rFonts w:ascii="Arial" w:hAnsi="Arial" w:eastAsia="等线" w:cs="Arial"/>
          <w:sz w:val="22"/>
        </w:rPr>
        <w:t>：对应客户活跃比例特征，设计活跃比率（fire_active_ratio），体现“能量”属性。由账户持有月数与近12个月不活跃月数的差值，除以账户持有月数得到，极端值限制在0 - 1区间。</w:t>
      </w:r>
    </w:p>
    <w:p w14:paraId="4AA7924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5.土</w:t>
      </w:r>
      <w:r>
        <w:rPr>
          <w:rFonts w:ascii="Arial" w:hAnsi="Arial" w:eastAsia="等线" w:cs="Arial"/>
          <w:sz w:val="22"/>
        </w:rPr>
        <w:t>：对应客户资源利用特征，计算资源利用率（earth_resource_eff），体现“承载”属性。银行场景中为循环余额与信用额度的比值，电商场景中采用方案A（转化率视角），即优惠券使用率与平均客单价的乘积。</w:t>
      </w:r>
    </w:p>
    <w:p w14:paraId="5624A5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基于上述映射关系计算五行平衡度得分，为降低指标波动，引入指数平滑系数</w:t>
      </w:r>
      <m:oMath>
        <m:r>
          <m:rPr>
            <m:sty m:val="p"/>
          </m:rPr>
          <w:rPr>
            <w:rFonts w:hint="default" w:ascii="Cambria Math" w:hAnsi="Cambria Math" w:eastAsia="等线"/>
            <w:sz w:val="22"/>
          </w:rPr>
          <m:t>（</m:t>
        </m:r>
        <m:r>
          <m:rPr/>
          <w:rPr>
            <w:rFonts w:hint="default" w:ascii="Cambria Math" w:hAnsi="Cambria Math" w:eastAsia="等线"/>
            <w:sz w:val="22"/>
          </w:rPr>
          <m:t>smoot</m:t>
        </m:r>
        <m:sSub>
          <m:sSubPr>
            <m:ctrlPr>
              <w:rPr>
                <w:rFonts w:hint="default" w:ascii="Cambria Math" w:hAnsi="Cambria Math" w:eastAsia="等线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等线"/>
                <w:sz w:val="22"/>
              </w:rPr>
              <m:t>h</m:t>
            </m:r>
            <m:ctrlPr>
              <w:rPr>
                <w:rFonts w:ascii="Cambria Math" w:hAnsi="Cambria Math" w:eastAsia="等线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等线"/>
                <w:sz w:val="22"/>
              </w:rPr>
              <m:t>a</m:t>
            </m:r>
            <m:ctrlPr>
              <w:rPr>
                <w:rFonts w:ascii="Cambria Math" w:hAnsi="Cambria Math" w:eastAsia="等线"/>
                <w:sz w:val="22"/>
              </w:rPr>
            </m:ctrlPr>
          </m:sub>
        </m:sSub>
        <m:r>
          <m:rPr/>
          <w:rPr>
            <w:rFonts w:hint="default" w:ascii="Cambria Math" w:hAnsi="Cambria Math" w:eastAsia="等线"/>
            <w:sz w:val="22"/>
          </w:rPr>
          <m:t>lpha</m:t>
        </m:r>
        <m:r>
          <m:rPr>
            <m:sty m:val="p"/>
          </m:rPr>
          <w:rPr>
            <w:rFonts w:hint="default" w:ascii="Cambria Math" w:hAnsi="Cambria Math" w:eastAsia="等线"/>
            <w:sz w:val="22"/>
          </w:rPr>
          <m:t>）</m:t>
        </m:r>
      </m:oMath>
      <w:r>
        <w:rPr>
          <w:rFonts w:ascii="Arial" w:hAnsi="Arial" w:eastAsia="等线" w:cs="Arial"/>
          <w:sz w:val="22"/>
        </w:rPr>
        <w:t>进行优化，公式如下：</w:t>
      </w:r>
    </w:p>
    <w:p w14:paraId="09745163">
      <w:pPr>
        <w:spacing w:before="120" w:after="120" w:line="288" w:lineRule="auto"/>
        <w:ind w:left="0"/>
        <w:jc w:val="left"/>
      </w:pPr>
      <m:oMathPara>
        <m:oMath>
          <m:r>
            <m:rPr/>
            <w:rPr>
              <w:rFonts w:ascii="Cambria Math" w:hAnsi="Cambria Math"/>
            </w:rPr>
            <m:t>BalanceScore=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5</m:t>
              </m:r>
            </m:den>
          </m:f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</w:rPr>
                <m:t>5</m:t>
              </m:r>
            </m:sup>
            <m:e/>
          </m:nary>
          <m:d>
            <m:dPr>
              <m:sepChr m:val=","/>
            </m:dPr>
            <m:e>
              <m:r>
                <m:rPr/>
                <w:rPr>
                  <w:rFonts w:ascii="Cambria Math" w:hAnsi="Cambria Math"/>
                </w:rPr>
                <m:t>1−</m:t>
              </m:r>
              <m:d>
                <m:dPr>
                  <m:begChr m:val="|"/>
                  <m:sepChr m:val=","/>
                  <m:endChr m:val="|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−</m:t>
                      </m:r>
                      <m:sSub>
                        <m:sSubPr/>
                        <m:e>
                          <m:acc>
                            <m:accPr>
                              <m:chr m:val="̅"/>
                            </m:acc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max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−min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</m:d>
          <m:r>
            <m:rPr/>
            <w:rPr>
              <w:rFonts w:ascii="Cambria Math" w:hAnsi="Cambria Math"/>
            </w:rPr>
            <m:t>×</m:t>
          </m:r>
          <m:sSub>
            <m:sSubPr/>
            <m:e>
              <m:r>
                <m:rPr/>
                <w:rPr>
                  <w:rFonts w:ascii="Cambria Math" w:hAnsi="Cambria Math"/>
                </w:rPr>
                <m:t>W</m:t>
              </m:r>
            </m:e>
            <m:sub>
              <m:r>
                <m:rPr/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1AC17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经过标准化处理后，再通过指数平滑公式进行优化：</w:t>
      </w:r>
    </w:p>
    <w:p w14:paraId="53AB8DF5">
      <w:pPr>
        <w:spacing w:before="120" w:after="120" w:line="288" w:lineRule="auto"/>
        <w:ind w:left="0"/>
        <w:jc w:val="left"/>
      </w:pPr>
      <m:oMathPara>
        <m:oMath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t</m:t>
              </m:r>
            </m:sub>
          </m:sSub>
          <m:r>
            <m:rPr/>
            <w:rPr>
              <w:rFonts w:ascii="Cambria Math" w:hAnsi="Cambria Math"/>
            </w:rPr>
            <m:t>=α×BalanceScor</m:t>
          </m:r>
          <m:sSub>
            <m:sSubPr/>
            <m:e>
              <m:r>
                <m:rPr/>
                <w:rPr>
                  <w:rFonts w:ascii="Cambria Math" w:hAnsi="Cambria Math"/>
                </w:rPr>
                <m:t>e</m:t>
              </m:r>
            </m:e>
            <m:sub>
              <m:r>
                <m:rPr/>
                <w:rPr>
                  <w:rFonts w:ascii="Cambria Math" w:hAnsi="Cambria Math"/>
                </w:rPr>
                <m:t>t</m:t>
              </m:r>
            </m:sub>
          </m:sSub>
          <m:r>
            <m:rPr/>
            <w:rPr>
              <w:rFonts w:ascii="Cambria Math" w:hAnsi="Cambria Math"/>
            </w:rPr>
            <m:t>+</m:t>
          </m:r>
          <m:d>
            <m:dPr>
              <m:sepChr m:val=","/>
            </m:dPr>
            <m:e>
              <m:r>
                <m:rPr/>
                <w:rPr>
                  <w:rFonts w:ascii="Cambria Math" w:hAnsi="Cambria Math"/>
                </w:rPr>
                <m:t>1−α</m:t>
              </m:r>
            </m:e>
          </m:d>
          <m:r>
            <m:rPr/>
            <w:rPr>
              <w:rFonts w:ascii="Cambria Math" w:hAnsi="Cambria Math"/>
            </w:rPr>
            <m:t>×</m:t>
          </m:r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t−1</m:t>
              </m:r>
            </m:sub>
          </m:sSub>
        </m:oMath>
      </m:oMathPara>
    </w:p>
    <w:p w14:paraId="5D9462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其中，各参数含义如下：</w:t>
      </w:r>
      <m:oMath>
        <m:r>
          <m:rPr/>
          <w:rPr>
            <w:rFonts w:ascii="Cambria Math" w:hAnsi="Cambria Math"/>
          </w:rPr>
          <m:t>Fₖ</m:t>
        </m:r>
      </m:oMath>
      <w:r>
        <w:rPr>
          <w:rFonts w:ascii="Arial" w:hAnsi="Arial" w:eastAsia="等线" w:cs="Arial"/>
          <w:sz w:val="22"/>
        </w:rPr>
        <w:t>代表第k个五行维度下客户特征的标准化值，采用Z - score标准化消除量纲影响；</w:t>
      </w:r>
      <m:oMath>
        <m:sSub>
          <m:sSubPr/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m:rPr/>
              <w:rPr>
                <w:rFonts w:ascii="Cambria Math" w:hAnsi="Cambria Math"/>
              </w:rPr>
              <m:t>k</m:t>
            </m:r>
          </m:sub>
        </m:sSub>
      </m:oMath>
      <w:r>
        <w:rPr>
          <w:rFonts w:ascii="Arial" w:hAnsi="Arial" w:eastAsia="等线" w:cs="Arial"/>
          <w:sz w:val="22"/>
        </w:rPr>
        <w:t>代表该五行维度下所有样本特征标准化值的平均值；</w:t>
      </w:r>
      <m:oMath>
        <m:r>
          <m:rPr/>
          <w:rPr>
            <w:rFonts w:ascii="Cambria Math" w:hAnsi="Cambria Math"/>
          </w:rPr>
          <m:t>Wₖ</m:t>
        </m:r>
      </m:oMath>
      <w:r>
        <w:rPr>
          <w:rFonts w:ascii="Arial" w:hAnsi="Arial" w:eastAsia="等线" w:cs="Arial"/>
          <w:sz w:val="22"/>
        </w:rPr>
        <w:t>代表第k个五行维度的特征重要性权重，基于LightGBM算法计算后归一化得到，取值范围在[0,1]之间且权重之和为1；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>为平滑系数，取值0.8，用于降低平衡度指标的波动。最终五行平衡度得分取值范围[0,1]，得分越高表明客户在各五行维度的特征分布越均衡。</w:t>
      </w:r>
    </w:p>
    <w:p w14:paraId="58D5C45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三、研究方法与实验设计</w:t>
      </w:r>
      <w:bookmarkEnd w:id="9"/>
    </w:p>
    <w:p w14:paraId="4A97EBD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 模型构建</w:t>
      </w:r>
      <w:bookmarkEnd w:id="10"/>
    </w:p>
    <w:p w14:paraId="51643A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本文构建“基础特征层 - 五行平衡层 - 因果估计层”的三层模型架构，结合双重机器学习与集成学习算法实现ATE估计：</w:t>
      </w:r>
    </w:p>
    <w:p w14:paraId="4E784CE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1.基础特征层</w:t>
      </w:r>
      <w:r>
        <w:rPr>
          <w:rFonts w:ascii="Arial" w:hAnsi="Arial" w:eastAsia="等线" w:cs="Arial"/>
          <w:sz w:val="22"/>
        </w:rPr>
        <w:t>：选取核心客户特征，银行场景包括客户年龄、依赖人数、账户持有月数等12类数值特征，以及卡片类型、收入类别2类分类特征；电商场景包括用户年龄、注册天数、近30天活跃天数等特征。对分类特征进行独热编码，对数值特征进行极端值裁剪与标准化处理，并填充缺失值。</w:t>
      </w:r>
    </w:p>
    <w:p w14:paraId="0BA9424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五行平衡层</w:t>
      </w:r>
      <w:r>
        <w:rPr>
          <w:rFonts w:ascii="Arial" w:hAnsi="Arial" w:eastAsia="等线" w:cs="Arial"/>
          <w:sz w:val="22"/>
        </w:rPr>
        <w:t>：依据上述五行 - 特征映射关系，计算木、火、土、金、水五个维度的特征指标，通过平衡度公式得到初始平衡度得分，再经指数平滑优化后，进行标准化处理并赋予权重（</w:t>
      </w:r>
      <m:oMath>
        <m:r>
          <m:rPr/>
          <w:rPr>
            <w:rFonts w:hint="default" w:ascii="Cambria Math" w:hAnsi="Cambria Math" w:eastAsia="等线"/>
            <w:sz w:val="22"/>
          </w:rPr>
          <m:t>balanc</m:t>
        </m:r>
        <m:sSub>
          <m:sSubPr>
            <m:ctrlPr>
              <w:rPr>
                <w:rFonts w:hint="default" w:ascii="Cambria Math" w:hAnsi="Cambria Math" w:eastAsia="等线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等线"/>
                <w:sz w:val="22"/>
              </w:rPr>
              <m:t>e</m:t>
            </m:r>
            <m:ctrlPr>
              <w:rPr>
                <w:rFonts w:ascii="Cambria Math" w:hAnsi="Cambria Math" w:eastAsia="等线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等线"/>
                <w:sz w:val="22"/>
              </w:rPr>
              <m:t>w</m:t>
            </m:r>
            <m:ctrlPr>
              <w:rPr>
                <w:rFonts w:ascii="Cambria Math" w:hAnsi="Cambria Math" w:eastAsia="等线"/>
                <w:sz w:val="22"/>
              </w:rPr>
            </m:ctrlPr>
          </m:sub>
        </m:sSub>
        <m:r>
          <m:rPr/>
          <w:rPr>
            <w:rFonts w:hint="default" w:ascii="Cambria Math" w:hAnsi="Cambria Math" w:eastAsia="等线"/>
            <w:sz w:val="22"/>
          </w:rPr>
          <m:t>eight</m:t>
        </m:r>
      </m:oMath>
      <w:r>
        <w:rPr>
          <w:rFonts w:ascii="Arial" w:hAnsi="Arial" w:eastAsia="等线" w:cs="Arial"/>
          <w:sz w:val="22"/>
        </w:rPr>
        <w:t>= 1.5）强化核心特征影响。</w:t>
      </w:r>
    </w:p>
    <w:p w14:paraId="525B37B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因果估计层</w:t>
      </w:r>
      <w:r>
        <w:rPr>
          <w:rFonts w:ascii="Arial" w:hAnsi="Arial" w:eastAsia="等线" w:cs="Arial"/>
          <w:sz w:val="22"/>
        </w:rPr>
        <w:t>：采用双重机器学习框架，以LGBM和XGBoost构建集成模型。通过交叉拟合将数据分为训练折与测试折，在训练折上分别拟合结果变量与处理变量的预测模型，在测试折上计算残差，最后对残差进行OLS回归得到ATE估计值。集成模型中加入L1和L2正则化项，降低模型过拟合风险。</w:t>
      </w:r>
    </w:p>
    <w:p w14:paraId="4FD280F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 实验数据</w:t>
      </w:r>
      <w:bookmarkEnd w:id="11"/>
    </w:p>
    <w:p w14:paraId="04A33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实验采用双场景数据验证模型泛化性，数据来源与处理方式如下：</w:t>
      </w:r>
    </w:p>
    <w:p w14:paraId="44494F7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银行场景</w:t>
      </w:r>
      <w:r>
        <w:rPr>
          <w:rFonts w:ascii="Arial" w:hAnsi="Arial" w:eastAsia="等线" w:cs="Arial"/>
          <w:sz w:val="22"/>
        </w:rPr>
        <w:t>：选取某银行信用卡客户数据（BankChurners.csv），经预处理后保留有效样本，核心特征包括客户年龄、信用额度、总交易金额、交易次数等。构造干预变量</w:t>
      </w:r>
      <m:oMath>
        <m:r>
          <m:rPr>
            <m:sty m:val="p"/>
          </m:rPr>
          <w:rPr>
            <w:rFonts w:ascii="Cambria Math" w:hAnsi="Cambria Math" w:eastAsia="等线" w:cs="Arial"/>
            <w:sz w:val="22"/>
            <w:szCs w:val="22"/>
          </w:rPr>
          <m:t>offer_given</m:t>
        </m:r>
      </m:oMath>
      <w:r>
        <w:rPr>
          <w:rFonts w:ascii="Arial" w:hAnsi="Arial" w:eastAsia="等线" w:cs="Arial"/>
          <w:sz w:val="22"/>
        </w:rPr>
        <w:t>（是否发放优惠），根据信用额度归一化值与不活跃月数归一化值计算发放概率，结果变量为增强后的交易金额（处理组交易金额提升15%）。</w:t>
      </w:r>
    </w:p>
    <w:p w14:paraId="614724B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电商场景</w:t>
      </w:r>
      <w:r>
        <w:rPr>
          <w:rFonts w:ascii="Arial" w:hAnsi="Arial" w:eastAsia="等线" w:cs="Arial"/>
          <w:sz w:val="22"/>
        </w:rPr>
        <w:t>：通过simulate_ecommerce_data函数模拟生成5000条电商用户数据，包含用户年龄、注册天数、近30天活跃天数、购买次数、优惠券面额等特征。干预变量为Coupon_Given（是否发放优惠券），结果变量为总消费金额，处理组消费金额提升12%，用于跨域验证模型迁移能力。</w:t>
      </w:r>
    </w:p>
    <w:p w14:paraId="2CA80D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按五行平衡度将数据分为“极低、低、中、高、极高”五组，每组样本量占比根据实际数据分布确定，确保分组具有代表性。</w:t>
      </w:r>
    </w:p>
    <w:p w14:paraId="1EF4759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3.3 五维验证体系设计</w:t>
      </w:r>
      <w:bookmarkEnd w:id="12"/>
    </w:p>
    <w:p w14:paraId="7A8B59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参考实证机器学习研究规范，构建多维度验证体系，全面评估模型性能：</w:t>
      </w:r>
    </w:p>
    <w:p w14:paraId="66EB179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交叉验证</w:t>
      </w:r>
      <w:r>
        <w:rPr>
          <w:rFonts w:ascii="Arial" w:hAnsi="Arial" w:eastAsia="等线" w:cs="Arial"/>
          <w:sz w:val="22"/>
        </w:rPr>
        <w:t>：采用5折分层交叉验证，评估模型稳定性，对比原始特征模型与五行特征模型的ATE平均偏差、标准误及波动情况。</w:t>
      </w:r>
    </w:p>
    <w:p w14:paraId="06F1ED1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跨域验证</w:t>
      </w:r>
      <w:r>
        <w:rPr>
          <w:rFonts w:ascii="Arial" w:hAnsi="Arial" w:eastAsia="等线" w:cs="Arial"/>
          <w:sz w:val="22"/>
        </w:rPr>
        <w:t>：在银行场景训练模型，在模拟电商场景进行测试，电商场景采用方案A计算土特征，评估模型的跨场景迁移能力。</w:t>
      </w:r>
    </w:p>
    <w:p w14:paraId="1EBD8E8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消融实验</w:t>
      </w:r>
      <w:r>
        <w:rPr>
          <w:rFonts w:ascii="Arial" w:hAnsi="Arial" w:eastAsia="等线" w:cs="Arial"/>
          <w:sz w:val="22"/>
        </w:rPr>
        <w:t>：构建仅含五行平衡度特征的简化模型，对比其与全特征模型的ATE偏差，验证五行平衡度作为核心特征的必要性。</w:t>
      </w:r>
    </w:p>
    <w:p w14:paraId="183AB0C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</w:t>
      </w:r>
      <w:r>
        <w:rPr>
          <w:rFonts w:ascii="Arial" w:hAnsi="Arial" w:eastAsia="等线" w:cs="Arial"/>
          <w:b/>
          <w:sz w:val="22"/>
        </w:rPr>
        <w:t>噪声鲁棒性验证</w:t>
      </w:r>
      <w:r>
        <w:rPr>
          <w:rFonts w:ascii="Arial" w:hAnsi="Arial" w:eastAsia="等线" w:cs="Arial"/>
          <w:sz w:val="22"/>
        </w:rPr>
        <w:t>：在原始数据中加入10%高斯噪声，对比两种模型在清洁数据与噪声数据中的ATE偏差变化幅度，评估模型抗干扰能力。</w:t>
      </w:r>
    </w:p>
    <w:p w14:paraId="369F8AD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5.</w:t>
      </w:r>
      <w:r>
        <w:rPr>
          <w:rFonts w:ascii="Arial" w:hAnsi="Arial" w:eastAsia="等线" w:cs="Arial"/>
          <w:b/>
          <w:sz w:val="22"/>
        </w:rPr>
        <w:t>业务逻辑验证</w:t>
      </w:r>
      <w:r>
        <w:rPr>
          <w:rFonts w:ascii="Arial" w:hAnsi="Arial" w:eastAsia="等线" w:cs="Arial"/>
          <w:sz w:val="22"/>
        </w:rPr>
        <w:t>：将五行平衡度分为五个组别，计算每组的真实ATE，分析极高平衡度组与理论真实ATE的偏差，验证模型是否符合业务直觉。</w:t>
      </w:r>
    </w:p>
    <w:p w14:paraId="1E7C534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3.4 评价指标</w:t>
      </w:r>
      <w:bookmarkEnd w:id="13"/>
    </w:p>
    <w:p w14:paraId="1C7DEE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以ATE偏差为核心评价指标，即ATE估计值与理论真实值的绝对差；辅助评价指标包括标准误（SE）、p值、偏差增幅百分比。标准误越小表明估计结果越精准，p值小于0.05则表明ATE估计结果显著，偏差增幅百分比越低说明模型抗干扰能力越强。</w:t>
      </w:r>
    </w:p>
    <w:p w14:paraId="1F802AC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四、实验结果与分析</w:t>
      </w:r>
      <w:bookmarkEnd w:id="14"/>
    </w:p>
    <w:p w14:paraId="7C2E99F3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4.1 交叉验证结果：稳定性显著提升</w:t>
      </w:r>
      <w:bookmarkEnd w:id="15"/>
    </w:p>
    <w:p w14:paraId="62F88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折交叉验证中，集成双重机器学习的五行模型与原始特征模型对比结果显示：原始特征模型平均ATE偏差为552.59，各折偏差波动平缓但数值较高；五行模型平均ATE偏差仅56.21，偏差降低幅度达89.8%，且各折偏差波动极小，验证了五行平衡度特征与集成算法结合后，模型稳定性得到有效提升。具体结果如表1、图1所示：</w:t>
      </w:r>
    </w:p>
    <w:p w14:paraId="2CC7B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表1 5折交叉验证ATE偏差对比表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F0974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2C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验证折数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5E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原始特征模型ATE偏差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23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五行模型ATE偏差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E1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偏差降低率</w:t>
            </w:r>
          </w:p>
        </w:tc>
      </w:tr>
      <w:tr w14:paraId="460450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F4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6C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553.22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E2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56.18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D4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89.8%</w:t>
            </w:r>
          </w:p>
        </w:tc>
      </w:tr>
      <w:tr w14:paraId="4D360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55F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68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551.96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21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C7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89.8%</w:t>
            </w:r>
          </w:p>
        </w:tc>
      </w:tr>
      <w:tr w14:paraId="555564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D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1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552.74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26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5B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89.8%</w:t>
            </w:r>
          </w:p>
        </w:tc>
      </w:tr>
      <w:tr w14:paraId="4A2308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1C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79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552.41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01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56.28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00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89.8%</w:t>
            </w:r>
          </w:p>
        </w:tc>
      </w:tr>
      <w:tr w14:paraId="17F66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DE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FD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552.52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01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56.19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98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89.8%</w:t>
            </w:r>
          </w:p>
        </w:tc>
      </w:tr>
      <w:tr w14:paraId="7BBF11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AE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36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552.59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DF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56.21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30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89.8%</w:t>
            </w:r>
          </w:p>
        </w:tc>
      </w:tr>
    </w:tbl>
    <w:p w14:paraId="70F1E4DA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图1</w:t>
      </w:r>
    </w:p>
    <w:p w14:paraId="4BE111C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2611120"/>
            <wp:effectExtent l="0" t="0" r="2540" b="8255"/>
            <wp:docPr id="1" name="图片 1" descr="交叉验证各折偏差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交叉验证各折偏差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435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4.2 跨域验证结果：泛化能力突出</w:t>
      </w:r>
      <w:bookmarkEnd w:id="16"/>
    </w:p>
    <w:p w14:paraId="3CE24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域验证结果显示：原始特征模型在银行场景ATE偏差为552.99，迁移至电商场景后ATE偏差为141.58；五行模型在银行场景保持56.21的低偏差，迁移至电商场景后偏差进一步降至10.87，跨域偏差降低幅度达92.3%，远低于原始模型的性能衰减幅度。这表明五行平衡度指标捕捉了银行与电商场景共通的因果规律，有效提升了模型的跨场景泛化能力。具体结果如表2、图2所示：</w:t>
      </w:r>
    </w:p>
    <w:p w14:paraId="23539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表2 跨域验证ATE偏差对比表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58FF6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9E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48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原始特征模型ATE偏差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E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五行模型ATE偏差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42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偏差降低率</w:t>
            </w:r>
          </w:p>
        </w:tc>
      </w:tr>
      <w:tr w14:paraId="5F4417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89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银行场景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99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552.99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38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56.21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13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89.8%</w:t>
            </w:r>
          </w:p>
        </w:tc>
      </w:tr>
      <w:tr w14:paraId="51D44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4B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电商场景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1E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141.58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5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10.87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B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92.3%</w:t>
            </w:r>
          </w:p>
        </w:tc>
      </w:tr>
    </w:tbl>
    <w:p w14:paraId="3A477913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图2</w:t>
      </w:r>
    </w:p>
    <w:p w14:paraId="2ECEDD5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134995"/>
            <wp:effectExtent l="0" t="0" r="635" b="8255"/>
            <wp:docPr id="2" name="图片 2" descr="跨域验证效果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跨域验证效果对比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0A83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4.3 特征重要性与消融实验：核心变量有效</w:t>
      </w:r>
      <w:bookmarkEnd w:id="17"/>
    </w:p>
    <w:p w14:paraId="512FCC6D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4.3.1 特征重要性分析</w:t>
      </w:r>
      <w:bookmarkEnd w:id="18"/>
    </w:p>
    <w:p w14:paraId="77DCF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ghtGBM特征重要性排序结果显示：五行平衡度特征以1808的得分显著优势位列第一，远超信用额度（612）、购买次数（589）等其他特征，成为模型估计的核心依赖特征，验证了其对因果效应捕捉的关键作用。具体结果如图3所示：</w:t>
      </w:r>
    </w:p>
    <w:p w14:paraId="29D16E17">
      <w:pPr>
        <w:spacing w:before="120" w:after="120" w:line="288" w:lineRule="auto"/>
        <w:ind w:left="0"/>
        <w:jc w:val="center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22"/>
        </w:rPr>
        <w:t xml:space="preserve">图3 </w:t>
      </w:r>
      <w:r>
        <w:rPr>
          <w:rFonts w:hint="eastAsia" w:eastAsia="等线"/>
          <w:lang w:eastAsia="zh-CN"/>
        </w:rPr>
        <w:drawing>
          <wp:inline distT="0" distB="0" distL="114300" distR="114300">
            <wp:extent cx="5271770" cy="3500755"/>
            <wp:effectExtent l="0" t="0" r="5080" b="4445"/>
            <wp:docPr id="3" name="图片 3" descr="特征重要性Top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特征重要性Top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58EA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4.3.2 消融实验结果</w:t>
      </w:r>
      <w:bookmarkEnd w:id="19"/>
    </w:p>
    <w:p w14:paraId="01443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融实验中，构建仅含五行平衡度特征的简化模型，其ATE偏差为20.06，虽略高于全特征五行模型，但远低于原始全特征模型（552.59），证明五行平衡度指标可独立捕捉核心因果关联，无需依赖大量冗余特征，验证了其作为核心特征的有效性与必要性。具体结果如图4所示：</w:t>
      </w:r>
    </w:p>
    <w:p w14:paraId="6BC243D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图4</w:t>
      </w:r>
    </w:p>
    <w:p w14:paraId="50834D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2483485"/>
            <wp:effectExtent l="0" t="0" r="2540" b="2540"/>
            <wp:docPr id="4" name="图片 4" descr="屏幕截图 2025-11-24 23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24 2331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D462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4.4 噪声鲁棒性结果：抗干扰能力优异</w:t>
      </w:r>
      <w:bookmarkEnd w:id="20"/>
    </w:p>
    <w:p w14:paraId="34FD9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加入10%高斯噪声的数据中：原始特征模型ATE偏差从清洁数据的584.81微增至586.68，增幅约0.3%；而五行模型ATE偏差从清洁数据的193.96降至12.94，增幅为-93.3%（偏差进一步降低）。这是因为五行平衡度的综合计算与指数平滑处理具有数据平滑效应，可抵消部分随机噪声的影响，同时集成模型的正则化项也降低了噪声对估计结果的干扰。具体结果如表3、图5所示：</w:t>
      </w:r>
    </w:p>
    <w:p w14:paraId="0CDBB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表3 噪声鲁棒性ATE偏差对比表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9115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3A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20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传统模型ATE偏差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10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五行模型ATE偏差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6B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传统模型增幅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46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五行模型增幅</w:t>
            </w:r>
          </w:p>
        </w:tc>
      </w:tr>
      <w:tr w14:paraId="4836EB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C1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清洁数据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D7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584.81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1C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193.96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99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17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67CFFA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FF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10%噪声数据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25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586.68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3D8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12.94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04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≈0.3%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A2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-93.3%</w:t>
            </w:r>
          </w:p>
        </w:tc>
      </w:tr>
    </w:tbl>
    <w:p w14:paraId="1BAC3078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图5</w:t>
      </w:r>
    </w:p>
    <w:p w14:paraId="1416B92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140075"/>
            <wp:effectExtent l="0" t="0" r="635" b="3175"/>
            <wp:docPr id="5" name="图片 5" descr="噪声鲁棒性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噪声鲁棒性对比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49E4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4.5 业务逻辑验证：符合实际规律</w:t>
      </w:r>
      <w:bookmarkEnd w:id="21"/>
    </w:p>
    <w:p w14:paraId="2493F0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行平衡度分组ATE值统计显示：平衡度与ATE值呈现合理关联——极高平衡度组的ATE均值为1371.11，与理论真实值1196.75偏差最小，且标准误低于其他组别；极低平衡度组ATE均值远超理论值，波动较大。这一结果验证了“平衡即合理”的业务逻辑，即特征分布均衡的客户群体，其营销干预效果更接近预期，为企业精准营销提供了明确指导：可重点针对极高平衡度客户开展干预活动，提升营销投入回报率。具体结果如图6所示：</w:t>
      </w:r>
    </w:p>
    <w:p w14:paraId="647332F0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图6</w:t>
      </w:r>
    </w:p>
    <w:p w14:paraId="49779ED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3515" cy="3049270"/>
            <wp:effectExtent l="0" t="0" r="3810" b="8255"/>
            <wp:docPr id="6" name="图片 6" descr="业务逻辑分组ATE箱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业务逻辑分组ATE箱线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09E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4.6 五维验证核心结果汇总</w:t>
      </w:r>
      <w:bookmarkEnd w:id="22"/>
    </w:p>
    <w:p w14:paraId="19881A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综合上述实验，五行模型在五维验证体系中的核心结果如表4所示，其在稳定性、泛化性、鲁棒性等维度均展现出显著优势：</w:t>
      </w:r>
    </w:p>
    <w:p w14:paraId="64F1A8A4">
      <w:pPr>
        <w:spacing w:before="120" w:after="120" w:line="288" w:lineRule="auto"/>
        <w:ind w:left="0"/>
        <w:jc w:val="center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22"/>
        </w:rPr>
        <w:t xml:space="preserve">表4 </w:t>
      </w:r>
      <w:r>
        <w:rPr>
          <w:rFonts w:hint="eastAsia" w:eastAsia="等线"/>
          <w:lang w:eastAsia="zh-CN"/>
        </w:rPr>
        <w:drawing>
          <wp:inline distT="0" distB="0" distL="114300" distR="114300">
            <wp:extent cx="5269230" cy="2719070"/>
            <wp:effectExtent l="0" t="0" r="7620" b="5080"/>
            <wp:docPr id="7" name="图片 7" descr="五行模型结果对比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五行模型结果对比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A638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五、讨论与展望</w:t>
      </w:r>
      <w:bookmarkEnd w:id="23"/>
    </w:p>
    <w:p w14:paraId="47B5DE2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5.1 研究结论</w:t>
      </w:r>
      <w:bookmarkEnd w:id="24"/>
    </w:p>
    <w:p w14:paraId="32DE3B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通过五维验证体系证实，基于五行论的因果估计模型在实际应用中具备三大显著优势：一是稳定性强，5折交叉验证中ATE偏差波动显著小于传统模型，偏差降低幅度达89.8%；二是泛化性好，跨域场景中偏差降低超92.3%，有效解决了传统模型跨场景性能衰减的问题；三是鲁棒性优，在10%噪声环境下，偏差增幅为-93.3%，具备良好的抗干扰能力。核心原因在于五行平衡度指标整合了多维度特征的交互信息，结合指数平滑优化降低了数据波动，搭配双重机器学习与集成算法，解决了传统模型“重单一特征、轻系统关联”和拟合能力不足的缺陷。</w:t>
      </w:r>
    </w:p>
    <w:p w14:paraId="186A1D6A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5.2 理论贡献与实践价值</w:t>
      </w:r>
      <w:bookmarkEnd w:id="25"/>
    </w:p>
    <w:p w14:paraId="21F23D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论上，本文构建了传统五行哲学与现代因果推断的融合框架，将抽象哲学概念转化为可量化、可优化的数学模型，同时丰富了双重机器学习的应用场景，为因果估计提供了新的理论视角与方法论支撑。实践上，模型在银行与电商场景的优异表现，可直接应用于精准营销、客户分层、风险控制等业务场景。企业可通过计算客户五行平衡度，识别高价值、高响应率的客户群体，降低营销干预成本，提升业务决策效率。</w:t>
      </w:r>
    </w:p>
    <w:p w14:paraId="32BF040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5.3 研究局限与未来方向</w:t>
      </w:r>
      <w:bookmarkEnd w:id="26"/>
    </w:p>
    <w:p w14:paraId="1755A5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本研究存在一定局限：电商数据采用模拟数据，虽能满足跨域验证需求，但与真实电商数据的复杂性存在差异；五行 - 特征映射关系可进一步拓展，当前仅覆盖核心特征，未纳入更多细分维度。未来可从三方面开展研究：一是拓展至医疗、教育等更多领域，采用真实多场景数据验证模型普适性；二是细化五行映射维度，结合深度学习算法实现动态特征权重分配，提升模型适配性；三是优化集成学习参数，尝试融合更多机器学习算法，进一步提升ATE估计精度。</w:t>
      </w:r>
    </w:p>
    <w:p w14:paraId="233EA30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7" w:name="heading_27"/>
      <w:r>
        <w:rPr>
          <w:rFonts w:ascii="Arial" w:hAnsi="Arial" w:eastAsia="等线" w:cs="Arial"/>
          <w:b/>
          <w:sz w:val="32"/>
        </w:rPr>
        <w:t>参考文献</w:t>
      </w:r>
      <w:bookmarkEnd w:id="27"/>
    </w:p>
    <w:p w14:paraId="14303712">
      <w:pPr>
        <w:numPr>
          <w:ilvl w:val="0"/>
          <w:numId w:val="1"/>
        </w:numPr>
        <w:spacing w:before="120" w:after="120" w:line="288" w:lineRule="auto"/>
        <w:ind w:left="61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Wang R, Miao W. Causal Effect Identification and Inference with Endogenous Exposures and a Light-tailed Error[J]. arXiv preprint arXiv:2408.06211, 2024. </w:t>
      </w:r>
    </w:p>
    <w:p w14:paraId="7361E263">
      <w:pPr>
        <w:numPr>
          <w:ilvl w:val="0"/>
          <w:numId w:val="1"/>
        </w:numPr>
        <w:spacing w:before="120" w:after="120" w:line="288" w:lineRule="auto"/>
        <w:ind w:left="61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任兆璋, 范闽. 中国教育质量与收益率的微观计量分析[J]. 华南理工大学学报(自然科学版), 2005(09). </w:t>
      </w:r>
    </w:p>
    <w:p w14:paraId="5C5F0375">
      <w:pPr>
        <w:numPr>
          <w:ilvl w:val="0"/>
          <w:numId w:val="1"/>
        </w:numPr>
        <w:spacing w:before="120" w:after="120" w:line="288" w:lineRule="auto"/>
        <w:ind w:left="61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Bouthillier X, et al. Design Principles for Falsifiable, Replicable and Reproducible Empirical ML Research[J]. arXiv preprint arXiv:2405.18077, 2024. </w:t>
      </w:r>
    </w:p>
    <w:p w14:paraId="47068620">
      <w:pPr>
        <w:numPr>
          <w:ilvl w:val="0"/>
          <w:numId w:val="0"/>
        </w:numPr>
        <w:spacing w:before="120" w:after="120" w:line="288" w:lineRule="auto"/>
        <w:ind w:left="61"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技术布道师. 因果系列文章（1）：因果推断及相关论文[EB/OL]. CSDN博客, 2022-08-30.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823B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0733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14270C"/>
    <w:multiLevelType w:val="singleLevel"/>
    <w:tmpl w:val="E214270C"/>
    <w:lvl w:ilvl="0" w:tentative="0">
      <w:start w:val="1"/>
      <w:numFmt w:val="decimal"/>
      <w:suff w:val="space"/>
      <w:lvlText w:val="%1."/>
      <w:lvlJc w:val="left"/>
      <w:pPr>
        <w:ind w:left="61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E0B1397"/>
    <w:rsid w:val="0ECB4993"/>
    <w:rsid w:val="113F3057"/>
    <w:rsid w:val="172A040E"/>
    <w:rsid w:val="1FFB74E5"/>
    <w:rsid w:val="26421E06"/>
    <w:rsid w:val="360821B1"/>
    <w:rsid w:val="49AA71E7"/>
    <w:rsid w:val="559942DC"/>
    <w:rsid w:val="696073DC"/>
    <w:rsid w:val="6B4E31DE"/>
    <w:rsid w:val="70952446"/>
    <w:rsid w:val="72833A7C"/>
    <w:rsid w:val="72CF7E68"/>
    <w:rsid w:val="74D01C2F"/>
    <w:rsid w:val="77040653"/>
    <w:rsid w:val="77C24CFB"/>
    <w:rsid w:val="7CEE00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5642</Words>
  <Characters>6541</Characters>
  <TotalTime>5</TotalTime>
  <ScaleCrop>false</ScaleCrop>
  <LinksUpToDate>false</LinksUpToDate>
  <CharactersWithSpaces>6654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2025-11-24T16:14:00Z</dcterms:created>
  <dc:creator>Apache POI</dc:creator>
  <cp:lastModifiedBy>ＭYPV.•</cp:lastModifiedBy>
  <dcterms:modified xsi:type="dcterms:W3CDTF">2025-11-27T10:33:20Z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eyJoZGlkIjoiMDljYzUzMWQ4OWI0YzBkYjYzMDRhZTY5ZjZkYmFmYTgiLCJ1c2VySWQiOiI5NTI2ODA1NTQifQ==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24EB387074174530AC52F5D2A91F44B3_12</vt:lpwstr>
  </property>
</Properties>
</file>