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0.png" ContentType="image/png"/>
  <Override PartName="/word/media/rId33.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the primary unmatched-pipeline test, strict FoM was 0.1961 for Geospatial Kernel, 0.1256 for a GeoSOS-derived FLUS-style ANN–CA console and 0.1619 for GeoFM-LDN in 2023; GeoFM-LDN led after recursive two-step rollout in 2024. A separate leakage-controlled expanding-window analysis, excluding the later road snapshot, gave Kernel FoM values of 0.2595, 0.0724, 0.2116 and 0.1816 for the four one-step targets from 2021 to 2024, exceeding a random minimum-change allocator in every window. In the only available WorldCover 2020–2021 window, Dynamic World built pixels decreased, so the oracle-demand built-gain test had zero power for every allocator. Dynamic World-to-WorldCover built-gain F1 was 0.0111–0.0192. The count-controlled allocation variant was near opportunity-level overall: Kernel was below random at 0.05, indistinguishable from random at 0.10–0.20 given three-seed variation, and above random only at 0.30. The planning track is therefore reported as scenario stress testing, not official forecasting. The protocol’s principal contribution is an inspectable proposal–projection–writeback boundary; the experiments support conditional allocation auditability, not verified prediction of Abu Dhabi’s actual future.</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Rolling-origin and spatial-block tests expose temporal variability.</w:t>
      </w:r>
    </w:p>
    <w:p>
      <w:pPr>
        <w:pStyle w:val="Compact"/>
        <w:numPr>
          <w:ilvl w:val="0"/>
          <w:numId w:val="1001"/>
        </w:numPr>
      </w:pPr>
      <w:r>
        <w:t xml:space="preserve">External-product diagnostics separate label disagreement from allocation skill.</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confidence-filter retention, expanding-window temporal tests, zero-model controls and external-product disagreement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p>
      <w:pPr>
        <w:pStyle w:val="BodyText"/>
      </w:pPr>
      <w:r>
        <w:t xml:space="preserve">An additional Geospatial Kernel analysis used four expanding one-step windows with origins in 2020–2023. For origin year</w:t>
      </w:r>
      <w:r>
        <w:t xml:space="preserve"> </w:t>
      </w:r>
      <m:oMath>
        <m:r>
          <m:t>t</m:t>
        </m:r>
      </m:oMath>
      <w:r>
        <w:t xml:space="preserve">, training included only transitions whose target year was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and fitting. The held-out target supplied its observed class counts to the oracle-demand allocator and was then used for evaluation. This design isolates spatial allocation conditional on known demand and is not an end-to-end demand forecast. Early folds locked only origin-year water and wetland cells and omitted the two road-distance features, because applying the 2021 WorldCover proxy or the later OpenStreetMap snapshot to earlier folds would introduce future information. The resulting rolling proposal has 23 features. A machine-tested temporal firewall records the last training target, prediction target and permitted target-year uses for every run. The headline 2023–2024 analysis is less strict: it uses the OSM road snapshot accessed on 31 July 2026, which may include roads built after the corresponding prediction years (including after 2022). This snapshot is supplied symmetrically to all three pipelines, so it does not change their ordering, but it can affect absolute scores; the rolling-origin results are the strict no-road-snapshot boundary.</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312 historical, rolling-origin and planning predictions plus two frozen WorldCover evidence rasters, with zero failures. The vector layers preserve raster-cell geometry and should not be interpreted as cadastral parcels.</w:t>
      </w:r>
    </w:p>
    <w:bookmarkEnd w:id="20"/>
    <w:bookmarkEnd w:id="21"/>
    <w:bookmarkStart w:id="46"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pPr>
      <w:r>
        <w:t xml:space="preserve">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pPr>
      <w:r>
        <w:t xml:space="preserve">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6"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pPr>
      <w:r>
        <w:t xml:space="preserve">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4.</w:t>
      </w:r>
    </w:p>
    <w:p>
      <w:pPr>
        <w:pStyle w:val="CaptionedFigure"/>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4" name="Picture"/>
            <a:graphic>
              <a:graphicData uri="http://schemas.openxmlformats.org/drawingml/2006/picture">
                <pic:pic>
                  <pic:nvPicPr>
                    <pic:cNvPr descr="figures/fig04_planning_objectives.png" id="35" name="Picture"/>
                    <pic:cNvPicPr>
                      <a:picLocks noChangeArrowheads="1" noChangeAspect="1"/>
                    </pic:cNvPicPr>
                  </pic:nvPicPr>
                  <pic:blipFill>
                    <a:blip r:embed="rId33"/>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pPr>
      <w:r>
        <w:t xml:space="preserve">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36"/>
    <w:bookmarkStart w:id="37"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5A shows focused proposal controls, and Fig. 5B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37"/>
    <w:bookmarkStart w:id="41"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39" name="Picture"/>
            <a:graphic>
              <a:graphicData uri="http://schemas.openxmlformats.org/drawingml/2006/picture">
                <pic:pic>
                  <pic:nvPicPr>
                    <pic:cNvPr descr="figures/fig05_mechanism_ablation.png" id="40" name="Picture"/>
                    <pic:cNvPicPr>
                      <a:picLocks noChangeArrowheads="1" noChangeAspect="1"/>
                    </pic:cNvPicPr>
                  </pic:nvPicPr>
                  <pic:blipFill>
                    <a:blip r:embed="rId38"/>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pPr>
      <w:r>
        <w:t xml:space="preserve">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1"/>
    <w:bookmarkStart w:id="45"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312 historical,</w:t>
      </w:r>
      <w:r>
        <w:t xml:space="preserve"> </w:t>
      </w:r>
      <w:r>
        <w:t xml:space="preserve">rolling-origin and planning prediction records passed the raster audit, and the</w:t>
      </w:r>
      <w:r>
        <w:t xml:space="preserve"> </w:t>
      </w:r>
      <w:r>
        <w:t xml:space="preserve">two frozen WorldCover evidence rasters passed the evidence audit. Fig. 6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3" name="Picture"/>
            <a:graphic>
              <a:graphicData uri="http://schemas.openxmlformats.org/drawingml/2006/picture">
                <pic:pic>
                  <pic:nvPicPr>
                    <pic:cNvPr descr="figures/fig06_planning_maps_2031.png" id="44" name="Picture"/>
                    <pic:cNvPicPr>
                      <a:picLocks noChangeArrowheads="1" noChangeAspect="1"/>
                    </pic:cNvPicPr>
                  </pic:nvPicPr>
                  <pic:blipFill>
                    <a:blip r:embed="rId42"/>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pPr>
      <w:r>
        <w:t xml:space="preserve">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5"/>
    <w:bookmarkEnd w:id="46"/>
    <w:bookmarkStart w:id="47"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In the separate rolling analysis, Kernel exceeds both zero models in all four one-step windows, but its score varies from 0.0724 to 0.2595 after excluding the later road snapshot. The WorldCover diagnostic does not provide a blanket external validation: the original Dynamic World-count gain comparison is structurally zero-powered because the observed built count declines. The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and external-product agreement are different tests, and none substitutes for authoritative local validation.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the available</w:t>
      </w:r>
      <w:r>
        <w:t xml:space="preserve"> </w:t>
      </w:r>
      <w:r>
        <w:t xml:space="preserve">2020–2021 WorldCover diagnostic is neither fully independent nor authoritative,</w:t>
      </w:r>
      <w:r>
        <w:t xml:space="preserve"> </w:t>
      </w:r>
      <w:r>
        <w:t xml:space="preserve">and no external 2023–2024 change product or observed 2025–2031 labels was</w:t>
      </w:r>
      <w:r>
        <w:t xml:space="preserve"> </w:t>
      </w:r>
      <w:r>
        <w:t xml:space="preserve">available. The headline analysis also uses a 31 July 2026 OSM road snapshot,</w:t>
      </w:r>
      <w:r>
        <w:t xml:space="preserve"> </w:t>
      </w:r>
      <w:r>
        <w:t xml:space="preserve">which may contain roads constructed after 2022. This information is shared by</w:t>
      </w:r>
      <w:r>
        <w:t xml:space="preserve"> </w:t>
      </w:r>
      <w:r>
        <w:t xml:space="preserve">all three pipelines and therefore does not change their ordering, but it can</w:t>
      </w:r>
      <w:r>
        <w:t xml:space="preserve"> </w:t>
      </w:r>
      <w:r>
        <w:t xml:space="preserve">affect absolute scores; the strict rolling-origin analysis removes those road</w:t>
      </w:r>
      <w:r>
        <w:t xml:space="preserve"> </w:t>
      </w:r>
      <w:r>
        <w:t xml:space="preserve">features and should define the no-leakage boundary.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2024,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47"/>
    <w:bookmarkStart w:id="48"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versioned reproducibility release is archived at Zenodo v1.0.0 (https://doi.org/10.5281/zenodo.22663476), corresponding to GitHub tag</w:t>
      </w:r>
      <w:r>
        <w:t xml:space="preserve"> </w:t>
      </w:r>
      <w:r>
        <w:rPr>
          <w:rStyle w:val="VerbatimChar"/>
        </w:rPr>
        <w:t xml:space="preserve">v1.0.0</w:t>
      </w:r>
      <w:r>
        <w:t xml:space="preserve"> </w:t>
      </w:r>
      <w:r>
        <w:t xml:space="preserve">at commit</w:t>
      </w:r>
      <w:r>
        <w:t xml:space="preserve"> </w:t>
      </w:r>
      <w:r>
        <w:rPr>
          <w:rStyle w:val="VerbatimChar"/>
        </w:rPr>
        <w:t xml:space="preserve">2cbd2d3</w:t>
      </w:r>
      <w:r>
        <w:t xml:space="preserve">. This archive DOI identifies the public-data benchmark and software/data package, not the eventual journal article DOI. Large rasters, GeoPackages and model checkpoints remain Git LFS objects in the GitHub repository; a full numerical rerun requires fetching those objects, whereas the automatically generated Zenodo GitHub ZIP may contain their pointer files.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artifacts/rolling_backtest/report.json</w:t>
      </w:r>
      <w:r>
        <w:t xml:space="preserve"> </w:t>
      </w:r>
      <w:r>
        <w:t xml:space="preserve">and</w:t>
      </w:r>
      <w:r>
        <w:t xml:space="preserve"> </w:t>
      </w:r>
      <w:r>
        <w:rPr>
          <w:rStyle w:val="VerbatimChar"/>
        </w:rPr>
        <w:t xml:space="preserve">paired_spatial_uncertainty.json</w:t>
      </w:r>
      <w:r>
        <w:t xml:space="preserve"> </w:t>
      </w:r>
      <w:r>
        <w:t xml:space="preserve">for the four leakage-controlled one-step windows;</w:t>
      </w:r>
    </w:p>
    <w:p>
      <w:pPr>
        <w:pStyle w:val="Compact"/>
        <w:numPr>
          <w:ilvl w:val="0"/>
          <w:numId w:val="1002"/>
        </w:numPr>
      </w:pPr>
      <w:r>
        <w:rPr>
          <w:rStyle w:val="VerbatimChar"/>
        </w:rPr>
        <w:t xml:space="preserve">supplementary_table_S5_rolling_external_diagnostics.md</w:t>
      </w:r>
      <w:r>
        <w:t xml:space="preserve"> </w:t>
      </w:r>
      <w:r>
        <w:t xml:space="preserve">for the synchronized rolling and external-product table;</w:t>
      </w:r>
    </w:p>
    <w:p>
      <w:pPr>
        <w:pStyle w:val="Compact"/>
        <w:numPr>
          <w:ilvl w:val="0"/>
          <w:numId w:val="1002"/>
        </w:numPr>
      </w:pPr>
      <w:r>
        <w:rPr>
          <w:rStyle w:val="VerbatimChar"/>
        </w:rPr>
        <w:t xml:space="preserve">artifacts/external_validation/worldcover/</w:t>
      </w:r>
      <w:r>
        <w:t xml:space="preserve"> </w:t>
      </w:r>
      <w:r>
        <w:t xml:space="preserve">for frozen WorldCover built-fraction inputs, hashes and the external-product diagnostic;</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and rolling-origin prediction rasters, frozen WorldCover built-fraction rasters, 2025–2031 planning rasters, nine GeoPackages of dissolved change footprints,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reference data remain outside this study.</w:t>
      </w:r>
    </w:p>
    <w:bookmarkEnd w:id="48"/>
    <w:bookmarkStart w:id="49"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run_rolling_backtest.py</w:t>
      </w:r>
      <w:r>
        <w:t xml:space="preserve"> </w:t>
      </w:r>
      <w:r>
        <w:t xml:space="preserve">and</w:t>
      </w:r>
      <w:r>
        <w:t xml:space="preserve"> </w:t>
      </w:r>
      <w:r>
        <w:rPr>
          <w:rStyle w:val="VerbatimChar"/>
        </w:rPr>
        <w:t xml:space="preserve">run_rolling_uncertainty.py</w:t>
      </w:r>
      <w:r>
        <w:t xml:space="preserve"> </w:t>
      </w:r>
      <w:r>
        <w:t xml:space="preserve">for the expanding-window experiment and paired spatial-block intervals;</w:t>
      </w:r>
    </w:p>
    <w:p>
      <w:pPr>
        <w:pStyle w:val="Compact"/>
        <w:numPr>
          <w:ilvl w:val="0"/>
          <w:numId w:val="1003"/>
        </w:numPr>
      </w:pPr>
      <w:r>
        <w:rPr>
          <w:rStyle w:val="VerbatimChar"/>
        </w:rPr>
        <w:t xml:space="preserve">materialize_worldcover_validation.py</w:t>
      </w:r>
      <w:r>
        <w:t xml:space="preserve"> </w:t>
      </w:r>
      <w:r>
        <w:t xml:space="preserve">for frozen WorldCover inputs;</w:t>
      </w:r>
    </w:p>
    <w:p>
      <w:pPr>
        <w:pStyle w:val="Compact"/>
        <w:numPr>
          <w:ilvl w:val="0"/>
          <w:numId w:val="1003"/>
        </w:numPr>
      </w:pPr>
      <w:r>
        <w:rPr>
          <w:rStyle w:val="VerbatimChar"/>
        </w:rPr>
        <w:t xml:space="preserve">run_worldcover_external_diagnostic.py</w:t>
      </w:r>
      <w:r>
        <w:t xml:space="preserve"> </w:t>
      </w:r>
      <w:r>
        <w:t xml:space="preserve">for the agreement diagnostic;</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and</w:t>
      </w:r>
      <w:r>
        <w:t xml:space="preserve"> </w:t>
      </w:r>
      <w:r>
        <w:rPr>
          <w:rStyle w:val="VerbatimChar"/>
        </w:rPr>
        <w:t xml:space="preserve">render_rolling_validation_figure.py</w:t>
      </w:r>
      <w:r>
        <w:t xml:space="preserve"> </w:t>
      </w:r>
      <w:r>
        <w:t xml:space="preserve">for publication artwork;</w:t>
      </w:r>
    </w:p>
    <w:p>
      <w:pPr>
        <w:pStyle w:val="Compact"/>
        <w:numPr>
          <w:ilvl w:val="0"/>
          <w:numId w:val="1003"/>
        </w:numPr>
      </w:pPr>
      <w:r>
        <w:rPr>
          <w:rStyle w:val="VerbatimChar"/>
        </w:rPr>
        <w:t xml:space="preserve">source_data_fig03_rolling_external_diagnostics.csv</w:t>
      </w:r>
      <w:r>
        <w:t xml:space="preserve"> </w:t>
      </w:r>
      <w:r>
        <w:t xml:space="preserve">for the quantitative source data behind Fig. 3.</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The versioned public reproducibility release is</w:t>
      </w:r>
      <w:r>
        <w:t xml:space="preserve"> </w:t>
      </w:r>
      <w:r>
        <w:t xml:space="preserve">archived at Zenodo v1.0.0: https://doi.org/10.5281/zenodo.22663476. It</w:t>
      </w:r>
      <w:r>
        <w:t xml:space="preserve"> </w:t>
      </w:r>
      <w:r>
        <w:t xml:space="preserve">corresponds to GitHub tag</w:t>
      </w:r>
      <w:r>
        <w:t xml:space="preserve"> </w:t>
      </w:r>
      <w:r>
        <w:rPr>
          <w:rStyle w:val="VerbatimChar"/>
        </w:rPr>
        <w:t xml:space="preserve">v1.0.0</w:t>
      </w:r>
      <w:r>
        <w:t xml:space="preserve"> </w:t>
      </w:r>
      <w:r>
        <w:t xml:space="preserve">at commit</w:t>
      </w:r>
      <w:r>
        <w:t xml:space="preserve"> </w:t>
      </w:r>
      <w:r>
        <w:rPr>
          <w:rStyle w:val="VerbatimChar"/>
        </w:rPr>
        <w:t xml:space="preserve">2cbd2d3</w:t>
      </w:r>
      <w:r>
        <w:t xml:space="preserve">; the DOI identifies the</w:t>
      </w:r>
      <w:r>
        <w:t xml:space="preserve"> </w:t>
      </w:r>
      <w:r>
        <w:t xml:space="preserve">benchmark and software/data archive, not the eventual journal article DOI.</w:t>
      </w:r>
    </w:p>
    <w:bookmarkEnd w:id="49"/>
    <w:bookmarkStart w:id="50"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50"/>
    <w:bookmarkStart w:id="51"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51"/>
    <w:bookmarkStart w:id="52"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4"/>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4"/>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4"/>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2026-09-08T16:20:43Z</dcterms:created>
  <dcterms:modified xsi:type="dcterms:W3CDTF">2026-09-08T16:20:43Z</dcterms:modified>
</cp:coreProperties>
</file>

<file path=docProps/custom.xml><?xml version="1.0" encoding="utf-8"?>
<Properties xmlns="http://schemas.openxmlformats.org/officeDocument/2006/custom-properties" xmlns:vt="http://schemas.openxmlformats.org/officeDocument/2006/docPropsVTypes"/>
</file>