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3.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the primary unmatched-pipeline test, strict FoM was 0.1961 for Geospatial Kernel, 0.1256 for a GeoSOS-derived FLUS-style ANN–CA console and 0.1619 for GeoFM-LDN in 2023; GeoFM-LDN led after recursive two-step rollout in 2024. A separate leakage-controlled expanding-window analysis, excluding the later road snapshot, gave Kernel FoM values of 0.2595, 0.0724, 0.2116 and 0.1816 for the four one-step targets from 2021 to 2024, exceeding a random minimum-change allocator in every window. However, an external-product diagnostic using ESA WorldCover 2020/2021 did not validate change location: Kernel built-gain F1 was 0 across four built-fraction thresholds, while Dynamic World-to-WorldCover built-gain F1 was only 0.0111–0.0192. The planning track is therefore reported as scenario stress testing, not official forecasting. The protocol’s principal contribution is an inspectable proposal–projection–writeback boundary; the experiments support conditional allocation auditability, not verified prediction of Abu Dhabi’s actual future.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Rolling-origin and spatial-block tests expose temporal variability.</w:t>
      </w:r>
    </w:p>
    <w:p>
      <w:pPr>
        <w:pStyle w:val="Compact"/>
        <w:numPr>
          <w:ilvl w:val="0"/>
          <w:numId w:val="1001"/>
        </w:numPr>
      </w:pPr>
      <w:r>
        <w:t xml:space="preserve">WorldCover disagreement bounds claims of real built-change prediction.</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confidence-filter retention, expanding-window temporal tests, zero-model controls and external-product disagreement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p>
      <w:pPr>
        <w:pStyle w:val="BodyText"/>
      </w:pPr>
      <w:r>
        <w:t xml:space="preserve">An additional Geospatial Kernel analysis used four expanding one-step windows with origins in 2020–2023. For origin year</w:t>
      </w:r>
      <w:r>
        <w:t xml:space="preserve"> </w:t>
      </w:r>
      <m:oMath>
        <m:r>
          <m:t>t</m:t>
        </m:r>
      </m:oMath>
      <w:r>
        <w:t xml:space="preserve">, training included only transitions whose target year was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and fitting. The held-out target supplied its observed class counts to the oracle-demand allocator and was then used for evaluation. This design isolates spatial allocation conditional on known demand and is not an end-to-end demand forecast. Early folds locked only origin-year water and wetland cells and omitted the two road-distance features, because applying the 2021 WorldCover proxy or the later OpenStreetMap snapshot to earlier folds would introduce future information. The resulting rolling proposal has 23 features. A machine-tested temporal firewall records the last training target, prediction target and permitted target-year uses for every run.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This is a product-agreement diagnostic, not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46"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6"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This result supports conditional spatial allocation under</w:t>
      </w:r>
      <w:r>
        <w:t xml:space="preserve"> </w:t>
      </w:r>
      <w:r>
        <w:t xml:space="preserve">Dynamic World labels, but the weak 2022 score shows substantial temporal</w:t>
      </w:r>
      <w:r>
        <w:t xml:space="preserve"> </w:t>
      </w:r>
      <w:r>
        <w:t xml:space="preserve">variation. Persistence also retained higher overall accuracy than Kernel in</w:t>
      </w:r>
      <w:r>
        <w:t xml:space="preserve"> </w:t>
      </w:r>
      <w:r>
        <w:t xml:space="preserve">2022–2024, whereas Kernel had higher overall accuracy only in 2021. The</w:t>
      </w:r>
      <w:r>
        <w:t xml:space="preserve"> </w:t>
      </w:r>
      <w:r>
        <w:t xml:space="preserve">change-specific and all-cell metrics therefore answer different questions.</w:t>
      </w:r>
    </w:p>
    <w:p>
      <w:pPr>
        <w:pStyle w:val="BodyText"/>
      </w:pPr>
      <w:r>
        <w:t xml:space="preserve">The WorldCover comparison did not corroborate change location.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Under the 2020→2021 Dynamic World oracle-demand action,</w:t>
      </w:r>
      <w:r>
        <w:t xml:space="preserve"> </w:t>
      </w:r>
      <w:r>
        <w:t xml:space="preserve">Kernel and the random allocator produced no built-gain cells, so their</w:t>
      </w:r>
      <w:r>
        <w:t xml:space="preserve"> </w:t>
      </w:r>
      <w:r>
        <w:t xml:space="preserve">WorldCover built-gain F1 was 0 at all thresholds and precision was undefined.</w:t>
      </w:r>
      <w:r>
        <w:t xml:space="preserve"> </w:t>
      </w:r>
      <w:r>
        <w:t xml:space="preserve">For 2021 built stock, Kernel F1 increased from 0.3518 to 0.3971 as the threshold</w:t>
      </w:r>
      <w:r>
        <w:t xml:space="preserve"> </w:t>
      </w:r>
      <w:r>
        <w:t xml:space="preserve">rose, but persistence was higher at every threshold (0.3886–0.4387). These</w:t>
      </w:r>
      <w:r>
        <w:t xml:space="preserve"> </w:t>
      </w:r>
      <w:r>
        <w:t xml:space="preserve">negative results indicate product-definition and temporal-label disagreement;</w:t>
      </w:r>
      <w:r>
        <w:t xml:space="preserve"> </w:t>
      </w:r>
      <w:r>
        <w:t xml:space="preserve">they do not identify which public product is correct. Fig. 3 reports the</w:t>
      </w:r>
      <w:r>
        <w:t xml:space="preserve"> </w:t>
      </w:r>
      <w:r>
        <w:t xml:space="preserve">rolling and external-product evidence together so that the zero-model advantage</w:t>
      </w:r>
      <w:r>
        <w:t xml:space="preserve"> </w:t>
      </w:r>
      <w:r>
        <w:t xml:space="preserve">and the absence of external change agreement cannot be separated in the claim.</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s c and d compare 2021 built stock and 2020–2021 built gain with ESA WorldCover at four 100-m built-fraction thresholds.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Panels c and d compare 2021 built stock and 2020–2021 built gain with ESA WorldCover at four 100-m built-fraction thresholds.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4.</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4" name="Picture"/>
            <a:graphic>
              <a:graphicData uri="http://schemas.openxmlformats.org/drawingml/2006/picture">
                <pic:pic>
                  <pic:nvPicPr>
                    <pic:cNvPr descr="figures/fig04_planning_objectives.png" id="35" name="Picture"/>
                    <pic:cNvPicPr>
                      <a:picLocks noChangeArrowheads="1" noChangeAspect="1"/>
                    </pic:cNvPicPr>
                  </pic:nvPicPr>
                  <pic:blipFill>
                    <a:blip r:embed="rId33"/>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6"/>
    <w:bookmarkStart w:id="37"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5A shows focused proposal controls, and Fig. 5B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7"/>
    <w:bookmarkStart w:id="41"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9" name="Picture"/>
            <a:graphic>
              <a:graphicData uri="http://schemas.openxmlformats.org/drawingml/2006/picture">
                <pic:pic>
                  <pic:nvPicPr>
                    <pic:cNvPr descr="figures/fig05_mechanism_ablation.png" id="40" name="Picture"/>
                    <pic:cNvPicPr>
                      <a:picLocks noChangeArrowheads="1" noChangeAspect="1"/>
                    </pic:cNvPicPr>
                  </pic:nvPicPr>
                  <pic:blipFill>
                    <a:blip r:embed="rId38"/>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1"/>
    <w:bookmarkStart w:id="45"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Fig. 6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3" name="Picture"/>
            <a:graphic>
              <a:graphicData uri="http://schemas.openxmlformats.org/drawingml/2006/picture">
                <pic:pic>
                  <pic:nvPicPr>
                    <pic:cNvPr descr="figures/fig06_planning_maps_2031.png" id="44" name="Picture"/>
                    <pic:cNvPicPr>
                      <a:picLocks noChangeArrowheads="1" noChangeAspect="1"/>
                    </pic:cNvPicPr>
                  </pic:nvPicPr>
                  <pic:blipFill>
                    <a:blip r:embed="rId42"/>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5"/>
    <w:bookmarkEnd w:id="46"/>
    <w:bookmarkStart w:id="4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In the separate rolling analysis, Kernel exceeds both zero models in all four one-step windows, but its score varies from 0.0724 to 0.2595 after excluding the later road snapshot. The WorldCover diagnostic then shows that superiority relative to Dynamic World-based zero models does not transfer to externally defined built-gain locations. Confidence filtering, rolling-window stability and external-product agreement are different tests, and none substitutes for authoritative local validation.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the available</w:t>
      </w:r>
      <w:r>
        <w:t xml:space="preserve"> </w:t>
      </w:r>
      <w:r>
        <w:t xml:space="preserve">2020–2021 WorldCover diagnostic conflicts with Dynamic World and is neither</w:t>
      </w:r>
      <w:r>
        <w:t xml:space="preserve"> </w:t>
      </w:r>
      <w:r>
        <w:t xml:space="preserve">fully independent nor authoritative, while no external 2023–2024 change</w:t>
      </w:r>
      <w:r>
        <w:t xml:space="preserve"> </w:t>
      </w:r>
      <w:r>
        <w:t xml:space="preserve">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7"/>
    <w:bookmarkStart w:id="4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48"/>
    <w:bookmarkStart w:id="4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49"/>
    <w:bookmarkStart w:id="5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0"/>
    <w:bookmarkStart w:id="5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51"/>
    <w:bookmarkStart w:id="52"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2026-09-08T13:11:49Z</dcterms:created>
  <dcterms:modified xsi:type="dcterms:W3CDTF">2026-09-08T13:11:49Z</dcterms:modified>
</cp:coreProperties>
</file>

<file path=docProps/custom.xml><?xml version="1.0" encoding="utf-8"?>
<Properties xmlns="http://schemas.openxmlformats.org/officeDocument/2006/custom-properties" xmlns:vt="http://schemas.openxmlformats.org/officeDocument/2006/docPropsVTypes"/>
</file>