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Title"/>
      </w:pPr>
      <w:r>
        <w:t>Auditing constrained geospatial allocation under annual land-cover product uncertainty</w:t>
      </w:r>
    </w:p>
    <w:p>
      <w:pPr>
        <w:pStyle w:val="Subtitle"/>
      </w:pPr>
      <w:r>
        <w:t>Ning Zhou</w:t>
        <w:br/>
        <w:t>Beijing Freedo Technology Co., Ltd.</w:t>
        <w:br/>
        <w:t>Corresponding author: zhouning@freedotech.com</w:t>
      </w:r>
    </w:p>
    <w:p>
      <w:pPr>
        <w:pStyle w:val="Heading2"/>
      </w:pPr>
      <w:r>
        <w:t xml:space="preserve">Abstract</w:t>
      </w:r>
    </w:p>
    <w:p>
      <w:pPr>
        <w:pStyle w:val="FirstParagraph"/>
      </w:pPr>
      <w:r>
        <w:t xml:space="preserve">Public land-cover products are increasingly used where authoritative local time series are unavailable, but product choice can alter both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Kernel had the highest mean FoM in four Dynamic World targets and two matched ArcGIS-served targets; these numerical ranks did not uniformly imply paired-interval separation. Net-change allocation imposed product-specific count-only FoM upper bounds of 0.086–0.813 in the ArcGIS folds. Kernel’s ArcGIS-minus-Dynamic World strict change Figure of Merit ranged from -0.244 to +0.205. Yet the product-specific 2031 planning frontiers retained FLUS-style and Kernel candidates in all three scenarios.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label dependence in model rankings.</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the attainable change-detection score.</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 Source values were mapped to water (1), woody vegetation (2), wetland (4), low vegetation (5 and 11), built (7) and bare (8); snow/ice (9) and cloud (10) were excluded.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source URL, snapshot date and SHA-256 are preserved in</w:t>
      </w:r>
      <w:r>
        <w:t xml:space="preserve"> </w:t>
      </w:r>
      <w:r>
        <w:rPr>
          <w:rStyle w:val="VerbatimChar"/>
        </w:rPr>
        <w:t xml:space="preserve">osm_input_manifest.json</w:t>
      </w:r>
      <w:r>
        <w:t xml:space="preserve">;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(author-modified build;</w:t>
      </w:r>
      <w:r>
        <w:t xml:space="preserve"> </w:t>
      </w:r>
      <w:r>
        <w:rPr>
          <w:rStyle w:val="VerbatimChar"/>
        </w:rPr>
        <w:t xml:space="preserve">paper-benchmark-flus-v1.1</w:t>
      </w:r>
      <w:r>
        <w:t xml:space="preserve">)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accompanying source repository</w:t>
      </w:r>
      <w:r>
        <w:t xml:space="preserve"> </w:t>
      </w:r>
      <w:r>
        <w:rPr>
          <w:rStyle w:val="VerbatimChar"/>
        </w:rPr>
        <w:t xml:space="preserve">FLUS_console_crossplatform</w:t>
      </w:r>
      <w:r>
        <w:t xml:space="preserve"> </w:t>
      </w:r>
      <w:r>
        <w:t xml:space="preserve">at commit</w:t>
      </w:r>
      <w:r>
        <w:t xml:space="preserve"> </w:t>
      </w:r>
      <w:r>
        <w:rPr>
          <w:rStyle w:val="VerbatimChar"/>
        </w:rPr>
        <w:t xml:space="preserve">47e65b3</w:t>
      </w:r>
      <w:r>
        <w:t xml:space="preserve"> </w:t>
      </w:r>
      <w:r>
        <w:t xml:space="preserve">contains the author modifications used for this paper. Those modifications add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deterministic seeding for both ANN sampling and CA roulette draws, so the build is not the unmodified upstream executable. Version v1.1 changes only failure handling for invalid input reads; valid-input algorithmic paths and benchmark rasters are unchanged from v1.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author-modified</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w:t>
      </w:r>
      <w:r>
        <w:t xml:space="preserve"> </w:t>
      </w:r>
      <w:r>
        <w:rPr>
          <w:rStyle w:val="VerbatimChar"/>
        </w:rPr>
        <w:t xml:space="preserve">FLUS_console_crossplatform</w:t>
      </w:r>
      <w:r>
        <w:t xml:space="preserve"> </w:t>
      </w:r>
      <w:r>
        <w:t xml:space="preserve">commit</w:t>
      </w:r>
      <w:r>
        <w:t xml:space="preserve"> </w:t>
      </w:r>
      <w:r>
        <w:rPr>
          <w:rStyle w:val="VerbatimChar"/>
        </w:rPr>
        <w:t xml:space="preserve">deb0a54</w:t>
      </w:r>
      <w:r>
        <w:t xml:space="preserve">.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author-controlled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led the ArcGIS-served 2021 target</w:t>
      </w:r>
      <w:r>
        <w:t xml:space="preserve"> </w:t>
      </w:r>
      <w:r>
        <w:t xml:space="preserve">(0.0625 versus Kernel 0.0154 and GeoFM-LDN 0.0314),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Kernel is</w:t>
      </w:r>
      <w:r>
        <w:t xml:space="preserve"> </w:t>
      </w:r>
      <w:r>
        <w:t xml:space="preserve">therefore not the numerical leader in the latest year. Block-size sensitivity</w:t>
      </w:r>
      <w:r>
        <w:t xml:space="preserve"> </w:t>
      </w:r>
      <w:r>
        <w:t xml:space="preserve">has not been established, and repeated seeds do not constitute independent</w:t>
      </w:r>
      <w:r>
        <w:t xml:space="preserve"> </w:t>
      </w:r>
      <w:r>
        <w:t xml:space="preserve">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or establish the performance of an allocator allowing simultaneous</w:t>
      </w:r>
      <w:r>
        <w:t xml:space="preserve"> </w:t>
      </w:r>
      <w:r>
        <w:t xml:space="preserve">gain and loss of each class.</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Identical membership among</w:t>
      </w:r>
      <w:r>
        <w:t xml:space="preserve"> </w:t>
      </w:r>
      <w:r>
        <w:t xml:space="preserve">three candidates does not establish spatial agreement of their allocations or</w:t>
      </w:r>
      <w:r>
        <w:t xml:space="preserve"> </w:t>
      </w:r>
      <w:r>
        <w:t xml:space="preserve">stability of planning benefits. Product-specific origins, horizons and actions</w:t>
      </w:r>
      <w:r>
        <w:t xml:space="preserve"> </w:t>
      </w:r>
      <w:r>
        <w:t xml:space="preserve">also differ; this is not a controlled experiment holding demand and initial</w:t>
      </w:r>
      <w:r>
        <w:t xml:space="preserve"> </w:t>
      </w:r>
      <w:r>
        <w:t xml:space="preserve">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641981"/>
            <wp:effectExtent b="0" l="0" r="0" t="0"/>
            <wp:docPr descr="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641981"/>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4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5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6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the author’s</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 its</w:t>
      </w:r>
      <w:r>
        <w:t xml:space="preserve"> </w:t>
      </w:r>
      <w:r>
        <w:t xml:space="preserve">headline comparison uses seven drivers.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and masks.</w:t>
      </w:r>
      <w:r>
        <w:t xml:space="preserve"> </w:t>
      </w:r>
      <w:r>
        <w:t xml:space="preserve">Neither independent reference validation nor this gross-transition experiment</w:t>
      </w:r>
      <w:r>
        <w:t xml:space="preserve"> </w:t>
      </w:r>
      <w:r>
        <w:t xml:space="preserve">has been performed. They are requirements for extending the present conditional</w:t>
      </w:r>
      <w:r>
        <w:t xml:space="preserve"> </w:t>
      </w:r>
      <w:r>
        <w:t xml:space="preserve">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Geospatial Kernel remained consistently</w:t>
      </w:r>
      <w:r>
        <w:t xml:space="preserve"> </w:t>
      </w:r>
      <w:r>
        <w:t xml:space="preserve">better than random minimum-change allocation, but it was not universally the</w:t>
      </w:r>
      <w:r>
        <w:t xml:space="preserve"> </w:t>
      </w:r>
      <w:r>
        <w:t xml:space="preserve">best learned model. Its strongest transferable property in this experiment is</w:t>
      </w:r>
      <w:r>
        <w:t xml:space="preserve"> </w:t>
      </w:r>
      <w:r>
        <w:t xml:space="preserve">therefore the auditable separation of learned proposal, constrained projection</w:t>
      </w:r>
      <w:r>
        <w:t xml:space="preserve"> </w:t>
      </w:r>
      <w:r>
        <w:t xml:space="preserve">and state writeback, not a product-independent accuracy claim. The count-only bounds further show</w:t>
      </w:r>
      <w:r>
        <w:t xml:space="preserve"> </w:t>
      </w:r>
      <w:r>
        <w:t xml:space="preserve">that net-change allocation can suppress much of the gross change represented by</w:t>
      </w:r>
      <w:r>
        <w:t xml:space="preserve"> </w:t>
      </w:r>
      <w:r>
        <w:t xml:space="preserve">a product; future work must separate that restriction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protocols, reports and generated delivery artefacts are organized under</w:t>
      </w:r>
      <w:r>
        <w:t xml:space="preserve"> </w:t>
      </w:r>
      <w:r>
        <w:rPr>
          <w:rStyle w:val="VerbatimChar"/>
        </w:rPr>
        <w:t xml:space="preserve">benchmarks/abu_dhabi_land_use_v1/</w:t>
      </w:r>
      <w:r>
        <w:t xml:space="preserve"> </w:t>
      </w:r>
      <w:r>
        <w:t xml:space="preserve">and</w:t>
      </w:r>
      <w:r>
        <w:t xml:space="preserve"> </w:t>
      </w:r>
      <w:r>
        <w:rPr>
          <w:rStyle w:val="VerbatimChar"/>
        </w:rPr>
        <w:t xml:space="preserve">benchmarks/abu_dhabi_land_use_v2/</w:t>
      </w:r>
      <w:r>
        <w:t xml:space="preserve"> </w:t>
      </w:r>
      <w:r>
        <w:t xml:space="preserve">in the accompanying repository. The ArcGIS-served cross-product source release is archived at Zenodo v2.0.0 (https://doi.org/10.5281/zenodo.22689057), corresponding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version-independent concept DOI is https://doi.org/10.5281/zenodo.22663475. The v2 release is defined by</w:t>
      </w:r>
      <w:r>
        <w:t xml:space="preserve"> </w:t>
      </w:r>
      <w:r>
        <w:rPr>
          <w:rStyle w:val="VerbatimChar"/>
        </w:rPr>
        <w:t xml:space="preserve">reproducibility/MANIFEST.json</w:t>
      </w:r>
      <w:r>
        <w:t xml:space="preserve"> </w:t>
      </w:r>
      <w:r>
        <w:t xml:space="preserve">(immutable inputs, assets and code) and</w:t>
      </w:r>
      <w:r>
        <w:t xml:space="preserve"> </w:t>
      </w:r>
      <w:r>
        <w:rPr>
          <w:rStyle w:val="VerbatimChar"/>
        </w:rPr>
        <w:t xml:space="preserve">reproducibility/PUBLICATION_OUTPUTS.json</w:t>
      </w:r>
      <w:r>
        <w:t xml:space="preserve"> </w:t>
      </w:r>
      <w:r>
        <w:t xml:space="preserve">(reports, source data, figures and delivered rasters/vectors);</w:t>
      </w:r>
      <w:r>
        <w:t xml:space="preserve"> </w:t>
      </w:r>
      <w:r>
        <w:rPr>
          <w:rStyle w:val="VerbatimChar"/>
        </w:rPr>
        <w:t xml:space="preserve">reproducibility_check.py</w:t>
      </w:r>
      <w:r>
        <w:t xml:space="preserve"> </w:t>
      </w:r>
      <w:r>
        <w:t xml:space="preserve">verifies both sets. The Zenodo record contains GitHub’s automatically generated source ZIP, which was inspected after publication and contains Git LFS pointers rather than hydrated large rasters, GeoPackages and model checkpoints. A full numerical rerun therefore requires checking out the tagged GitHub repository, retrieving its LFS objects and passing both v2 manifest checks; the DOI record alone is not a self-contained binary-data archive. The main evidence files are:</w:t>
      </w:r>
    </w:p>
    <w:p>
      <w:pPr>
        <w:pStyle w:val="Compact"/>
        <w:numPr>
          <w:ilvl w:val="0"/>
          <w:numId w:val="1002"/>
        </w:numPr>
      </w:pPr>
      <w:r>
        <w:rPr>
          <w:rStyle w:val="VerbatimChar"/>
        </w:rPr>
        <w:t xml:space="preserve">comparison_report_current.json</w:t>
      </w:r>
      <w:r>
        <w:t xml:space="preserve"> </w:t>
      </w:r>
      <w:r>
        <w:t xml:space="preserve">and</w:t>
      </w:r>
      <w:r>
        <w:t xml:space="preserve"> </w:t>
      </w:r>
      <w:r>
        <w:rPr>
          <w:rStyle w:val="VerbatimChar"/>
        </w:rPr>
        <w:t xml:space="preserve">comparison_report_current.md</w:t>
      </w:r>
      <w:r>
        <w:t xml:space="preserve"> </w:t>
      </w:r>
      <w:r>
        <w:t xml:space="preserve">for historical metrics when a data-complete rerun is available;</w:t>
      </w:r>
    </w:p>
    <w:p>
      <w:pPr>
        <w:pStyle w:val="Compact"/>
        <w:numPr>
          <w:ilvl w:val="0"/>
          <w:numId w:val="1002"/>
        </w:numPr>
      </w:pPr>
      <w:r>
        <w:rPr>
          <w:rStyle w:val="VerbatimChar"/>
        </w:rPr>
        <w:t xml:space="preserve">planning_comparison_report_public_2025_2031_current.json</w:t>
      </w:r>
      <w:r>
        <w:t xml:space="preserve"> </w:t>
      </w:r>
      <w:r>
        <w:t xml:space="preserve">and its Markdown rendering for 2031 planning objectives;</w:t>
      </w:r>
    </w:p>
    <w:p>
      <w:pPr>
        <w:pStyle w:val="Compact"/>
        <w:numPr>
          <w:ilvl w:val="0"/>
          <w:numId w:val="1002"/>
        </w:numPr>
      </w:pPr>
      <w:r>
        <w:rPr>
          <w:rStyle w:val="VerbatimChar"/>
        </w:rPr>
        <w:t xml:space="preserve">planning_scenario_report_public_2025_2031_current.json</w:t>
      </w:r>
      <w:r>
        <w:t xml:space="preserve"> </w:t>
      </w:r>
      <w:r>
        <w:t xml:space="preserve">for per-seed rollout traces;</w:t>
      </w:r>
    </w:p>
    <w:p>
      <w:pPr>
        <w:pStyle w:val="Compact"/>
        <w:numPr>
          <w:ilvl w:val="0"/>
          <w:numId w:val="1002"/>
        </w:numPr>
      </w:pPr>
      <w:r>
        <w:rPr>
          <w:rStyle w:val="VerbatimChar"/>
        </w:rPr>
        <w:t xml:space="preserve">planning_public_2025_2031_delivery_manifest_current.json</w:t>
      </w:r>
      <w:r>
        <w:t xml:space="preserve"> </w:t>
      </w:r>
      <w:r>
        <w:t xml:space="preserve">for raster and vector delivery;</w:t>
      </w:r>
    </w:p>
    <w:p>
      <w:pPr>
        <w:pStyle w:val="Compact"/>
        <w:numPr>
          <w:ilvl w:val="0"/>
          <w:numId w:val="1002"/>
        </w:numPr>
      </w:pPr>
      <w:r>
        <w:rPr>
          <w:rStyle w:val="VerbatimChar"/>
        </w:rPr>
        <w:t xml:space="preserve">output_audit.json</w:t>
      </w:r>
      <w:r>
        <w:t xml:space="preserve"> </w:t>
      </w:r>
      <w:r>
        <w:t xml:space="preserve">for the current raster audit;</w:t>
      </w:r>
      <w:r>
        <w:t xml:space="preserve"> </w:t>
      </w:r>
      <w:r>
        <w:rPr>
          <w:rStyle w:val="VerbatimChar"/>
        </w:rPr>
        <w:t xml:space="preserve">output_audit_reproducible.json</w:t>
      </w:r>
      <w:r>
        <w:t xml:space="preserve"> </w:t>
      </w:r>
      <w:r>
        <w:t xml:space="preserve">is a compatibility copy produced by the same run;</w:t>
      </w:r>
    </w:p>
    <w:p>
      <w:pPr>
        <w:pStyle w:val="Compact"/>
        <w:numPr>
          <w:ilvl w:val="0"/>
          <w:numId w:val="1002"/>
        </w:numPr>
      </w:pPr>
      <w:r>
        <w:rPr>
          <w:rStyle w:val="VerbatimChar"/>
        </w:rPr>
        <w:t xml:space="preserve">artifacts/rolling_backtest/report.json</w:t>
      </w:r>
      <w:r>
        <w:t xml:space="preserve"> </w:t>
      </w:r>
      <w:r>
        <w:t xml:space="preserve">and</w:t>
      </w:r>
      <w:r>
        <w:t xml:space="preserve"> </w:t>
      </w:r>
      <w:r>
        <w:rPr>
          <w:rStyle w:val="VerbatimChar"/>
        </w:rPr>
        <w:t xml:space="preserve">paired_spatial_uncertainty.json</w:t>
      </w:r>
      <w:r>
        <w:t xml:space="preserve"> </w:t>
      </w:r>
      <w:r>
        <w:t xml:space="preserve">for the four leakage-controlled one-step windows;</w:t>
      </w:r>
    </w:p>
    <w:p>
      <w:pPr>
        <w:pStyle w:val="Compact"/>
        <w:numPr>
          <w:ilvl w:val="0"/>
          <w:numId w:val="1002"/>
        </w:numPr>
      </w:pPr>
      <w:r>
        <w:rPr>
          <w:rStyle w:val="VerbatimChar"/>
        </w:rPr>
        <w:t xml:space="preserve">supplementary_table_S5_rolling_external_diagnostics.md</w:t>
      </w:r>
      <w:r>
        <w:t xml:space="preserve"> </w:t>
      </w:r>
      <w:r>
        <w:t xml:space="preserve">for the synchronized rolling and external-product table;</w:t>
      </w:r>
    </w:p>
    <w:p>
      <w:pPr>
        <w:pStyle w:val="Compact"/>
        <w:numPr>
          <w:ilvl w:val="0"/>
          <w:numId w:val="1002"/>
        </w:numPr>
      </w:pPr>
      <w:r>
        <w:rPr>
          <w:rStyle w:val="VerbatimChar"/>
        </w:rPr>
        <w:t xml:space="preserve">artifacts/external_validation/worldcover/</w:t>
      </w:r>
      <w:r>
        <w:t xml:space="preserve"> </w:t>
      </w:r>
      <w:r>
        <w:t xml:space="preserve">for frozen WorldCover built-fraction inputs, hashes and the external-product diagnostic;</w:t>
      </w:r>
    </w:p>
    <w:p>
      <w:pPr>
        <w:pStyle w:val="Compact"/>
        <w:numPr>
          <w:ilvl w:val="0"/>
          <w:numId w:val="1002"/>
        </w:numPr>
      </w:pPr>
      <w:r>
        <w:t xml:space="preserve">the v2 source manifest under</w:t>
      </w:r>
      <w:r>
        <w:t xml:space="preserve"> </w:t>
      </w:r>
      <w:r>
        <w:rPr>
          <w:rStyle w:val="VerbatimChar"/>
        </w:rPr>
        <w:t xml:space="preserve">artifacts/arcgis_sentinel2_landcover/</w:t>
      </w:r>
      <w:r>
        <w:t xml:space="preserve"> </w:t>
      </w:r>
      <w:r>
        <w:t xml:space="preserve">for service metadata, catalog records and downloaded-raster hashes;</w:t>
      </w:r>
    </w:p>
    <w:p>
      <w:pPr>
        <w:pStyle w:val="Compact"/>
        <w:numPr>
          <w:ilvl w:val="0"/>
          <w:numId w:val="1002"/>
        </w:numPr>
      </w:pPr>
      <w:r>
        <w:t xml:space="preserve">the v2 paired reports under</w:t>
      </w:r>
      <w:r>
        <w:t xml:space="preserve"> </w:t>
      </w:r>
      <w:r>
        <w:rPr>
          <w:rStyle w:val="VerbatimChar"/>
        </w:rPr>
        <w:t xml:space="preserve">artifacts/arcgis_v2_historical_backtest/</w:t>
      </w:r>
      <w:r>
        <w:t xml:space="preserve"> </w:t>
      </w:r>
      <w:r>
        <w:t xml:space="preserve">and</w:t>
      </w:r>
      <w:r>
        <w:t xml:space="preserve"> </w:t>
      </w:r>
      <w:r>
        <w:rPr>
          <w:rStyle w:val="VerbatimChar"/>
        </w:rPr>
        <w:t xml:space="preserve">artifacts/dynamic_world_matched_backtest/</w:t>
      </w:r>
      <w:r>
        <w:t xml:space="preserve"> </w:t>
      </w:r>
      <w:r>
        <w:t xml:space="preserve">for the two complete three-model expanding-window tracks;</w:t>
      </w:r>
    </w:p>
    <w:p>
      <w:pPr>
        <w:pStyle w:val="Compact"/>
        <w:numPr>
          <w:ilvl w:val="0"/>
          <w:numId w:val="1002"/>
        </w:numPr>
      </w:pPr>
      <w:r>
        <w:t xml:space="preserve">the v2 cross-product summary under</w:t>
      </w:r>
      <w:r>
        <w:t xml:space="preserve"> </w:t>
      </w:r>
      <w:r>
        <w:rPr>
          <w:rStyle w:val="VerbatimChar"/>
        </w:rPr>
        <w:t xml:space="preserve">results_arcgis_v2/paper_refresh/</w:t>
      </w:r>
      <w:r>
        <w:t xml:space="preserve"> </w:t>
      </w:r>
      <w:r>
        <w:t xml:space="preserve">and Supplementary Table S6 for the synchronized result;</w:t>
      </w:r>
    </w:p>
    <w:p>
      <w:pPr>
        <w:pStyle w:val="Compact"/>
        <w:numPr>
          <w:ilvl w:val="0"/>
          <w:numId w:val="1002"/>
        </w:numPr>
      </w:pPr>
      <w:r>
        <w:t xml:space="preserve">the v2</w:t>
      </w:r>
      <w:r>
        <w:t xml:space="preserve"> </w:t>
      </w:r>
      <w:r>
        <w:rPr>
          <w:rStyle w:val="VerbatimChar"/>
        </w:rPr>
        <w:t xml:space="preserve">results_arcgis_v2/ensembles/</w:t>
      </w:r>
      <w:r>
        <w:t xml:space="preserve"> </w:t>
      </w:r>
      <w:r>
        <w:t xml:space="preserve">and</w:t>
      </w:r>
      <w:r>
        <w:t xml:space="preserve"> </w:t>
      </w:r>
      <w:r>
        <w:rPr>
          <w:rStyle w:val="VerbatimChar"/>
        </w:rPr>
        <w:t xml:space="preserve">vectors/</w:t>
      </w:r>
      <w:r>
        <w:t xml:space="preserve"> </w:t>
      </w:r>
      <w:r>
        <w:t xml:space="preserve">directories for the 2026–2031 raster and change-footprint deliveries;</w:t>
      </w:r>
    </w:p>
    <w:p>
      <w:pPr>
        <w:pStyle w:val="Compact"/>
        <w:numPr>
          <w:ilvl w:val="0"/>
          <w:numId w:val="1002"/>
        </w:numPr>
      </w:pPr>
      <w:r>
        <w:t xml:space="preserve">the data-audit, protocol and source-input manifests for data provenance;</w:t>
      </w:r>
    </w:p>
    <w:p>
      <w:pPr>
        <w:pStyle w:val="Compact"/>
        <w:numPr>
          <w:ilvl w:val="0"/>
          <w:numId w:val="1002"/>
        </w:numPr>
      </w:pPr>
      <w:r>
        <w:t xml:space="preserve">The released bundle includes the aligned 2017–2024 public rasters, historical and rolling-origin prediction rasters, frozen WorldCover built-fraction rasters, 2025–2031 planning rasters, nine GeoPackages of dissolved change footprints, model checkpoints and the SHA-256 manifest. Text hashes use canonical LF line endings, and the byte-length check applies the same normalization on text records, so a Windows checkout with</w:t>
      </w:r>
      <w:r>
        <w:t xml:space="preserve"> </w:t>
      </w:r>
      <w:r>
        <w:rPr>
          <w:rStyle w:val="VerbatimChar"/>
        </w:rPr>
        <w:t xml:space="preserve">core.autocrlf=true</w:t>
      </w:r>
      <w:r>
        <w:t xml:space="preserve"> </w:t>
      </w:r>
      <w:r>
        <w:t xml:space="preserve">can pass the manifest gate. The locked macOS arm64 execution environment remains the reference for model outputs. An archived arm64 Linux rerun of the six historical Kernel rasters differed from the macOS reference by 498–1,147 cells (0.62%–1.44%), with strict-FoM deltas from -0.0023 to +0.0010; these cross-stack differences are quantified rather than treated as categorical identity. An author-controlled GitHub Actions Ubuntu x86_64 rerun of all six rasters under the resolved lock had zero categorical differences; the repository-stored CI audit is in</w:t>
      </w:r>
      <w:r>
        <w:t xml:space="preserve"> </w:t>
      </w:r>
      <w:r>
        <w:rPr>
          <w:rStyle w:val="VerbatimChar"/>
        </w:rPr>
        <w:t xml:space="preserve">artifacts/cross_platform</w:t>
      </w:r>
      <w:r>
        <w:t xml:space="preserve"> </w:t>
      </w:r>
      <w:r>
        <w:t xml:space="preserve">at commit</w:t>
      </w:r>
      <w:r>
        <w:t xml:space="preserve"> </w:t>
      </w:r>
      <w:r>
        <w:rPr>
          <w:rStyle w:val="VerbatimChar"/>
        </w:rPr>
        <w:t xml:space="preserve">e06a997</w:t>
      </w:r>
      <w:r>
        <w:t xml:space="preserve">, and the workflow is versioned under</w:t>
      </w:r>
      <w:r>
        <w:t xml:space="preserve"> </w:t>
      </w:r>
      <w:r>
        <w:rPr>
          <w:rStyle w:val="VerbatimChar"/>
        </w:rPr>
        <w:t xml:space="preserve">.github/workflows/</w:t>
      </w:r>
      <w:r>
        <w:t xml:space="preserve">. Independent external Windows evidence remains separately labelled for FLUS because the corresponding rasters are not archived locally. No private database address, credential or client-only service is included. Authoritative Abu Dhabi land-use and independent reference data remain outside this study.</w:t>
      </w:r>
    </w:p>
    <w:p>
      <w:pPr>
        <w:pStyle w:val="FirstParagraph"/>
      </w:pPr>
      <w:r>
        <w:t xml:space="preserve">The current working revision and the published v2.0.0 archive are distinct</w:t>
      </w:r>
      <w:r>
        <w:t xml:space="preserve"> </w:t>
      </w:r>
      <w:r>
        <w:t xml:space="preserve">versions. The published DOI continues to identify its original tagged inputs,</w:t>
      </w:r>
      <w:r>
        <w:t xml:space="preserve"> </w:t>
      </w:r>
      <w:r>
        <w:t xml:space="preserve">outputs and manuscript. The working revision adds a report-derived allocation-</w:t>
      </w:r>
      <w:r>
        <w:t xml:space="preserve"> </w:t>
      </w:r>
      <w:r>
        <w:t xml:space="preserve">limit analysis and revised interpretation without retraining models or replacing</w:t>
      </w:r>
      <w:r>
        <w:t xml:space="preserve"> </w:t>
      </w:r>
      <w:r>
        <w:t xml:space="preserve">the archived prediction rasters. Its separate working manifests and source hashes</w:t>
      </w:r>
      <w:r>
        <w:t xml:space="preserve"> </w:t>
      </w:r>
      <w:r>
        <w:t xml:space="preserve">are described in</w:t>
      </w:r>
      <w:r>
        <w:t xml:space="preserve"> </w:t>
      </w:r>
      <w:r>
        <w:rPr>
          <w:rStyle w:val="VerbatimChar"/>
        </w:rPr>
        <w:t xml:space="preserve">benchmarks/abu_dhabi_land_use_v2/reproducibility/WORKING_REVISION.md</w:t>
      </w:r>
      <w:r>
        <w:t xml:space="preserve">;</w:t>
      </w:r>
      <w:r>
        <w:t xml:space="preserve"> </w:t>
      </w:r>
      <w:r>
        <w:t xml:space="preserve">passing them verifies the declared revision, not a new DOI release.</w:t>
      </w:r>
    </w:p>
    <w:bookmarkEnd w:id="54"/>
    <w:bookmarkStart w:id="55" w:name="code-availability"/>
    <w:p>
      <w:pPr>
        <w:pStyle w:val="Heading2"/>
      </w:pPr>
      <w:r>
        <w:t xml:space="preserve">Code availability</w:t>
      </w:r>
    </w:p>
    <w:p>
      <w:pPr>
        <w:pStyle w:val="FirstParagraph"/>
      </w:pPr>
      <w:r>
        <w:t xml:space="preserve">The analysis scripts, a vendored Geospatial Kernel runtime snapshot, benchmark protocol, model runners and figure-generation code are maintained in the accompanying repository. Principal entry points are listed separately to keep the manuscript readable:</w:t>
      </w:r>
    </w:p>
    <w:p>
      <w:pPr>
        <w:pStyle w:val="Compact"/>
        <w:numPr>
          <w:ilvl w:val="0"/>
          <w:numId w:val="1003"/>
        </w:numPr>
      </w:pPr>
      <w:r>
        <w:rPr>
          <w:rStyle w:val="VerbatimChar"/>
        </w:rPr>
        <w:t xml:space="preserve">run_geospatial_kernel.py</w:t>
      </w:r>
      <w:r>
        <w:t xml:space="preserve"> </w:t>
      </w:r>
      <w:r>
        <w:t xml:space="preserve">for the Kernel historical run;</w:t>
      </w:r>
    </w:p>
    <w:p>
      <w:pPr>
        <w:pStyle w:val="Compact"/>
        <w:numPr>
          <w:ilvl w:val="0"/>
          <w:numId w:val="1003"/>
        </w:numPr>
      </w:pPr>
      <w:r>
        <w:rPr>
          <w:rStyle w:val="VerbatimChar"/>
        </w:rPr>
        <w:t xml:space="preserve">run_rolling_backtest.py</w:t>
      </w:r>
      <w:r>
        <w:t xml:space="preserve"> </w:t>
      </w:r>
      <w:r>
        <w:t xml:space="preserve">and</w:t>
      </w:r>
      <w:r>
        <w:t xml:space="preserve"> </w:t>
      </w:r>
      <w:r>
        <w:rPr>
          <w:rStyle w:val="VerbatimChar"/>
        </w:rPr>
        <w:t xml:space="preserve">run_rolling_uncertainty.py</w:t>
      </w:r>
      <w:r>
        <w:t xml:space="preserve"> </w:t>
      </w:r>
      <w:r>
        <w:t xml:space="preserve">for the expanding-window experiment and paired spatial-block intervals;</w:t>
      </w:r>
    </w:p>
    <w:p>
      <w:pPr>
        <w:pStyle w:val="Compact"/>
        <w:numPr>
          <w:ilvl w:val="0"/>
          <w:numId w:val="1003"/>
        </w:numPr>
      </w:pPr>
      <w:r>
        <w:rPr>
          <w:rStyle w:val="VerbatimChar"/>
        </w:rPr>
        <w:t xml:space="preserve">materialize_worldcover_validation.py</w:t>
      </w:r>
      <w:r>
        <w:t xml:space="preserve"> </w:t>
      </w:r>
      <w:r>
        <w:t xml:space="preserve">for frozen WorldCover inputs;</w:t>
      </w:r>
    </w:p>
    <w:p>
      <w:pPr>
        <w:pStyle w:val="Compact"/>
        <w:numPr>
          <w:ilvl w:val="0"/>
          <w:numId w:val="1003"/>
        </w:numPr>
      </w:pPr>
      <w:r>
        <w:rPr>
          <w:rStyle w:val="VerbatimChar"/>
        </w:rPr>
        <w:t xml:space="preserve">run_worldcover_external_diagnostic.py</w:t>
      </w:r>
      <w:r>
        <w:t xml:space="preserve"> </w:t>
      </w:r>
      <w:r>
        <w:t xml:space="preserve">for the agreement diagnostic;</w:t>
      </w:r>
    </w:p>
    <w:p>
      <w:pPr>
        <w:pStyle w:val="Compact"/>
        <w:numPr>
          <w:ilvl w:val="0"/>
          <w:numId w:val="1003"/>
        </w:numPr>
      </w:pPr>
      <w:r>
        <w:t xml:space="preserve">the vendored</w:t>
      </w:r>
      <w:r>
        <w:t xml:space="preserve"> </w:t>
      </w:r>
      <w:r>
        <w:rPr>
          <w:rStyle w:val="VerbatimChar"/>
        </w:rPr>
        <w:t xml:space="preserve">geospatial_kernel/runtime.py</w:t>
      </w:r>
      <w:r>
        <w:t xml:space="preserve"> </w:t>
      </w:r>
      <w:r>
        <w:t xml:space="preserve">snapshot;</w:t>
      </w:r>
    </w:p>
    <w:p>
      <w:pPr>
        <w:pStyle w:val="Compact"/>
        <w:numPr>
          <w:ilvl w:val="0"/>
          <w:numId w:val="1003"/>
        </w:numPr>
      </w:pPr>
      <w:r>
        <w:rPr>
          <w:rStyle w:val="VerbatimChar"/>
        </w:rPr>
        <w:t xml:space="preserve">render_nature_figures.py</w:t>
      </w:r>
      <w:r>
        <w:t xml:space="preserve"> </w:t>
      </w:r>
      <w:r>
        <w:t xml:space="preserve">and</w:t>
      </w:r>
      <w:r>
        <w:t xml:space="preserve"> </w:t>
      </w:r>
      <w:r>
        <w:rPr>
          <w:rStyle w:val="VerbatimChar"/>
        </w:rPr>
        <w:t xml:space="preserve">render_rolling_validation_figure.py</w:t>
      </w:r>
      <w:r>
        <w:t xml:space="preserve"> </w:t>
      </w:r>
      <w:r>
        <w:t xml:space="preserve">for publication artwork;</w:t>
      </w:r>
    </w:p>
    <w:p>
      <w:pPr>
        <w:pStyle w:val="Compact"/>
        <w:numPr>
          <w:ilvl w:val="0"/>
          <w:numId w:val="1003"/>
        </w:numPr>
      </w:pPr>
      <w:r>
        <w:rPr>
          <w:rStyle w:val="VerbatimChar"/>
        </w:rPr>
        <w:t xml:space="preserve">source_data_fig03_rolling_external_diagnostics.csv</w:t>
      </w:r>
      <w:r>
        <w:t xml:space="preserve"> </w:t>
      </w:r>
      <w:r>
        <w:t xml:space="preserve">for the quantitative source data behind Fig. 3.</w:t>
      </w:r>
    </w:p>
    <w:p>
      <w:pPr>
        <w:pStyle w:val="Compact"/>
        <w:numPr>
          <w:ilvl w:val="0"/>
          <w:numId w:val="1003"/>
        </w:numPr>
      </w:pPr>
      <w:r>
        <w:rPr>
          <w:rStyle w:val="VerbatimChar"/>
        </w:rPr>
        <w:t xml:space="preserve">run_arcgis_historical_backtest.py</w:t>
      </w:r>
      <w:r>
        <w:t xml:space="preserve"> </w:t>
      </w:r>
      <w:r>
        <w:t xml:space="preserve">for both leakage-controlled product tracks;</w:t>
      </w:r>
    </w:p>
    <w:p>
      <w:pPr>
        <w:pStyle w:val="Compact"/>
        <w:numPr>
          <w:ilvl w:val="0"/>
          <w:numId w:val="1003"/>
        </w:numPr>
      </w:pPr>
      <w:r>
        <w:rPr>
          <w:rStyle w:val="VerbatimChar"/>
        </w:rPr>
        <w:t xml:space="preserve">analyze_product_robustness.py</w:t>
      </w:r>
      <w:r>
        <w:t xml:space="preserve">,</w:t>
      </w:r>
      <w:r>
        <w:t xml:space="preserve"> </w:t>
      </w:r>
      <w:r>
        <w:rPr>
          <w:rStyle w:val="VerbatimChar"/>
        </w:rPr>
        <w:t xml:space="preserve">source_data_fig04_product_robustness.csv</w:t>
      </w:r>
      <w:r>
        <w:t xml:space="preserve"> </w:t>
      </w:r>
      <w:r>
        <w:t xml:space="preserve">and</w:t>
      </w:r>
      <w:r>
        <w:t xml:space="preserve"> </w:t>
      </w:r>
      <w:r>
        <w:rPr>
          <w:rStyle w:val="VerbatimChar"/>
        </w:rPr>
        <w:t xml:space="preserve">supplementary_table_S6_product_robustness.md</w:t>
      </w:r>
      <w:r>
        <w:t xml:space="preserve"> </w:t>
      </w:r>
      <w:r>
        <w:t xml:space="preserve">for the cross-product analysis;</w:t>
      </w:r>
    </w:p>
    <w:p>
      <w:pPr>
        <w:pStyle w:val="Compact"/>
        <w:numPr>
          <w:ilvl w:val="0"/>
          <w:numId w:val="1003"/>
        </w:numPr>
      </w:pPr>
      <w:r>
        <w:rPr>
          <w:rStyle w:val="VerbatimChar"/>
        </w:rPr>
        <w:t xml:space="preserve">reproducibility/reproduce.py</w:t>
      </w:r>
      <w:r>
        <w:t xml:space="preserve"> </w:t>
      </w:r>
      <w:r>
        <w:t xml:space="preserve">for the end-to-end rerun;</w:t>
      </w:r>
    </w:p>
    <w:p>
      <w:pPr>
        <w:pStyle w:val="Compact"/>
        <w:numPr>
          <w:ilvl w:val="0"/>
          <w:numId w:val="1003"/>
        </w:numPr>
      </w:pPr>
      <w:r>
        <w:rPr>
          <w:rStyle w:val="VerbatimChar"/>
        </w:rPr>
        <w:t xml:space="preserve">reproducibility_check.py</w:t>
      </w:r>
      <w:r>
        <w:t xml:space="preserve"> </w:t>
      </w:r>
      <w:r>
        <w:t xml:space="preserve">and</w:t>
      </w:r>
      <w:r>
        <w:t xml:space="preserve"> </w:t>
      </w:r>
      <w:r>
        <w:rPr>
          <w:rStyle w:val="VerbatimChar"/>
        </w:rPr>
        <w:t xml:space="preserve">audit_outputs.py</w:t>
      </w:r>
      <w:r>
        <w:t xml:space="preserve"> </w:t>
      </w:r>
      <w:r>
        <w:t xml:space="preserve">for fail-closed integrity checks.</w:t>
      </w:r>
    </w:p>
    <w:p>
      <w:pPr>
        <w:pStyle w:val="FirstParagraph"/>
      </w:pPr>
      <w:r>
        <w:t xml:space="preserve">GeoFM-LDN source and the three fixed checkpoints are included in the benchmark</w:t>
      </w:r>
      <w:r>
        <w:t xml:space="preserve"> </w:t>
      </w:r>
      <w:r>
        <w:t xml:space="preserve">external and prediction-artifact directories.</w:t>
      </w:r>
      <w:r>
        <w:t xml:space="preserve"> </w:t>
      </w:r>
      <w:r>
        <w:t xml:space="preserve">Earlier internal reference outputs, produced before the dependency lock was</w:t>
      </w:r>
      <w:r>
        <w:t xml:space="preserve"> </w:t>
      </w:r>
      <w:r>
        <w:t xml:space="preserve">completed, could not be regenerated under the resolved environment and were</w:t>
      </w:r>
      <w:r>
        <w:t xml:space="preserve"> </w:t>
      </w:r>
      <w:r>
        <w:t xml:space="preserve">superseded by the locked-environment rerun reported here. Historical strict-FoM</w:t>
      </w:r>
      <w:r>
        <w:t xml:space="preserve"> </w:t>
      </w:r>
      <w:r>
        <w:t xml:space="preserve">differences were at approximately the 0.001 level; discrete multi-year planning</w:t>
      </w:r>
      <w:r>
        <w:t xml:space="preserve"> </w:t>
      </w:r>
      <w:r>
        <w:t xml:space="preserve">ensemble demand errors changed more substantially and are reported here only</w:t>
      </w:r>
      <w:r>
        <w:t xml:space="preserve"> </w:t>
      </w:r>
      <w:r>
        <w:t xml:space="preserve">from the locked-environment rerun. The prior outputs remain Git-history lineage,</w:t>
      </w:r>
      <w:r>
        <w:t xml:space="preserve"> </w:t>
      </w:r>
      <w:r>
        <w:t xml:space="preserve">not current evidence.</w:t>
      </w:r>
      <w:r>
        <w:t xml:space="preserve"> </w:t>
      </w:r>
      <w:r>
        <w:t xml:space="preserve">The vendored FLUS executable is a macOS arm64 binary rebuilt from the GeoSOS</w:t>
      </w:r>
      <w:r>
        <w:t xml:space="preserve"> </w:t>
      </w:r>
      <w:r>
        <w:t xml:space="preserve">public FLUS source base. The author-modified source, including</w:t>
      </w:r>
      <w:r>
        <w:t xml:space="preserve"> </w:t>
      </w:r>
      <w:r>
        <w:rPr>
          <w:rStyle w:val="VerbatimChar"/>
        </w:rPr>
        <w:t xml:space="preserve">train-update</w:t>
      </w:r>
      <w:r>
        <w:t xml:space="preserve"> </w:t>
      </w:r>
      <w:r>
        <w:t xml:space="preserve">and</w:t>
      </w:r>
      <w:r>
        <w:t xml:space="preserve"> </w:t>
      </w:r>
      <w:r>
        <w:rPr>
          <w:rStyle w:val="VerbatimChar"/>
        </w:rPr>
        <w:t xml:space="preserve">FLUS_RANDOM_SEED</w:t>
      </w:r>
      <w:r>
        <w:t xml:space="preserve">, is archived at</w:t>
      </w:r>
      <w:r>
        <w:t xml:space="preserve"> </w:t>
      </w:r>
      <w:r>
        <w:t xml:space="preserve">the public FLUS source repository, tag</w:t>
      </w:r>
      <w:r>
        <w:t xml:space="preserve"> </w:t>
      </w:r>
      <w:r>
        <w:rPr>
          <w:rStyle w:val="VerbatimChar"/>
        </w:rPr>
        <w:t xml:space="preserve">paper-benchmark-flus-v1.1</w:t>
      </w:r>
      <w:r>
        <w:t xml:space="preserve"> </w:t>
      </w:r>
      <w:r>
        <w:t xml:space="preserve">at commit</w:t>
      </w:r>
      <w:r>
        <w:t xml:space="preserve"> </w:t>
      </w:r>
      <w:r>
        <w:rPr>
          <w:rStyle w:val="VerbatimChar"/>
        </w:rPr>
        <w:t xml:space="preserve">47e65b3</w:t>
      </w:r>
      <w:r>
        <w:t xml:space="preserve"> </w:t>
      </w:r>
      <w:r>
        <w:t xml:space="preserve">(the GeoSOS source release and Liu et al. (2017) are cited above). Rebuilding</w:t>
      </w:r>
      <w:r>
        <w:t xml:space="preserve"> </w:t>
      </w:r>
      <w:r>
        <w:t xml:space="preserve">the preceding v1 commit (</w:t>
      </w:r>
      <w:r>
        <w:rPr>
          <w:rStyle w:val="VerbatimChar"/>
        </w:rPr>
        <w:t xml:space="preserve">deb0a54</w:t>
      </w:r>
      <w:r>
        <w:t xml:space="preserve">) on macOS arm64 produced SHA-256</w:t>
      </w:r>
      <w:r>
        <w:t xml:space="preserve"> </w:t>
      </w:r>
      <w:r>
        <w:rPr>
          <w:rStyle w:val="VerbatimChar"/>
        </w:rPr>
        <w:t xml:space="preserve">9839ce50950442d4ef49e4d2129a1ba27735e1955c2d4975ae51067c1c3c9964</w:t>
      </w:r>
      <w:r>
        <w:t xml:space="preserve">,</w:t>
      </w:r>
      <w:r>
        <w:t xml:space="preserve"> </w:t>
      </w:r>
      <w:r>
        <w:t xml:space="preserve">identical to the vendored executable. Version v1.1 changes only invalid-input</w:t>
      </w:r>
      <w:r>
        <w:t xml:space="preserve"> </w:t>
      </w:r>
      <w:r>
        <w:t xml:space="preserve">failure handling and leaves valid-input algorithmic paths unchanged; the</w:t>
      </w:r>
      <w:r>
        <w:t xml:space="preserve"> </w:t>
      </w:r>
      <w:r>
        <w:t xml:space="preserve">normal-output equivalence check is archived with the source release.</w:t>
      </w:r>
      <w:r>
        <w:t xml:space="preserve"> </w:t>
      </w:r>
      <w:r>
        <w:t xml:space="preserve">The tagged author-modified source can also be built on Linux and Windows using</w:t>
      </w:r>
      <w:r>
        <w:t xml:space="preserve"> </w:t>
      </w:r>
      <w:r>
        <w:t xml:space="preserve">the repository instructions.</w:t>
      </w:r>
      <w:r>
        <w:t xml:space="preserve"> </w:t>
      </w:r>
      <w:r>
        <w:rPr>
          <w:rStyle w:val="VerbatimChar"/>
        </w:rPr>
        <w:t xml:space="preserve">FLUS_RANDOM_SEED</w:t>
      </w:r>
      <w:r>
        <w:t xml:space="preserve"> </w:t>
      </w:r>
      <w:r>
        <w:t xml:space="preserve">guarantees determinism only</w:t>
      </w:r>
      <w:r>
        <w:t xml:space="preserve"> </w:t>
      </w:r>
      <w:r>
        <w:t xml:space="preserve">within a platform and build environment because ANN sampling and CA roulette</w:t>
      </w:r>
      <w:r>
        <w:t xml:space="preserve"> </w:t>
      </w:r>
      <w:r>
        <w:t xml:space="preserve">draws use platform-defined C</w:t>
      </w:r>
      <w:r>
        <w:t xml:space="preserve"> </w:t>
      </w:r>
      <w:r>
        <w:rPr>
          <w:rStyle w:val="VerbatimChar"/>
        </w:rPr>
        <w:t xml:space="preserve">rand()</w:t>
      </w:r>
      <w:r>
        <w:t xml:space="preserve">/</w:t>
      </w:r>
      <w:r>
        <w:rPr>
          <w:rStyle w:val="VerbatimChar"/>
        </w:rPr>
        <w:t xml:space="preserve">srand()</w:t>
      </w:r>
      <w:r>
        <w:t xml:space="preserve"> </w:t>
      </w:r>
      <w:r>
        <w:t xml:space="preserve">streams. Independent external</w:t>
      </w:r>
      <w:r>
        <w:t xml:space="preserve"> </w:t>
      </w:r>
      <w:r>
        <w:t xml:space="preserve">Windows FLUS verification, including the seven-driver cross-platform difference</w:t>
      </w:r>
      <w:r>
        <w:t xml:space="preserve"> </w:t>
      </w:r>
      <w:r>
        <w:t xml:space="preserve">and the 25-feature zero-change outcome, is documented with its provenance</w:t>
      </w:r>
      <w:r>
        <w:t xml:space="preserve"> </w:t>
      </w:r>
      <w:r>
        <w:t xml:space="preserve">limitation in Supplementary Table S3. Windows execution requires the benchmark</w:t>
      </w:r>
      <w:r>
        <w:t xml:space="preserve"> </w:t>
      </w:r>
      <w:r>
        <w:t xml:space="preserve">and working directories to use pure ASCII paths; saving configuration files as</w:t>
      </w:r>
      <w:r>
        <w:t xml:space="preserve"> </w:t>
      </w:r>
      <w:r>
        <w:t xml:space="preserve">UTF-8 alone does not repair GDAL path decoding. A compatible local build is required to</w:t>
      </w:r>
      <w:r>
        <w:t xml:space="preserve"> </w:t>
      </w:r>
      <w:r>
        <w:t xml:space="preserve">execute the FLUS track outside macOS arm64 and will produce a different random</w:t>
      </w:r>
      <w:r>
        <w:t xml:space="preserve"> </w:t>
      </w:r>
      <w:r>
        <w:t xml:space="preserve">stream. The macOS binary SHA statement is an author self-check. As an</w:t>
      </w:r>
      <w:r>
        <w:t xml:space="preserve"> </w:t>
      </w:r>
      <w:r>
        <w:t xml:space="preserve">upstream-only fallback, the public FLUS CA source can be paired with an open</w:t>
      </w:r>
      <w:r>
        <w:t xml:space="preserve"> </w:t>
      </w:r>
      <w:r>
        <w:t xml:space="preserve">Python ANN implementation, but the unmodified upstream CA uses time seeding</w:t>
      </w:r>
      <w:r>
        <w:t xml:space="preserve"> </w:t>
      </w:r>
      <w:r>
        <w:t xml:space="preserve">rather than</w:t>
      </w:r>
      <w:r>
        <w:t xml:space="preserve"> </w:t>
      </w:r>
      <w:r>
        <w:rPr>
          <w:rStyle w:val="VerbatimChar"/>
        </w:rPr>
        <w:t xml:space="preserve">FLUS_RANDOM_SEED</w:t>
      </w:r>
      <w:r>
        <w:t xml:space="preserve">. The corresponding-author e-mail is</w:t>
      </w:r>
      <w:r>
        <w:t xml:space="preserve"> </w:t>
      </w:r>
      <w:r>
        <w:rPr>
          <w:rStyle w:val="VerbatimChar"/>
        </w:rPr>
        <w:t xml:space="preserve">zhouning@freedotech.com</w:t>
      </w:r>
      <w:r>
        <w:t xml:space="preserve">. The versioned v2 source release is archived at</w:t>
      </w:r>
      <w:r>
        <w:t xml:space="preserve"> </w:t>
      </w:r>
      <w:r>
        <w:t xml:space="preserve">https://doi.org/10.5281/zenodo.22689057 and corresponds to GitHub tag</w:t>
      </w:r>
      <w:r>
        <w:t xml:space="preserve"> </w:t>
      </w:r>
      <w:r>
        <w:rPr>
          <w:rStyle w:val="VerbatimChar"/>
        </w:rPr>
        <w:t xml:space="preserve">v2.0.0</w:t>
      </w:r>
      <w:r>
        <w:t xml:space="preserve"> </w:t>
      </w:r>
      <w:r>
        <w:t xml:space="preserve">at commit</w:t>
      </w:r>
      <w:r>
        <w:t xml:space="preserve"> </w:t>
      </w:r>
      <w:r>
        <w:rPr>
          <w:rStyle w:val="VerbatimChar"/>
        </w:rPr>
        <w:t xml:space="preserve">77e2c59</w:t>
      </w:r>
      <w:r>
        <w:t xml:space="preserve">; the DOI identifies the public benchmark source release,</w:t>
      </w:r>
      <w:r>
        <w:t xml:space="preserve"> </w:t>
      </w:r>
      <w:r>
        <w:t xml:space="preserve">not the eventual journal article DOI. Hydrated Git LFS objects must be fetched</w:t>
      </w:r>
      <w:r>
        <w:t xml:space="preserve"> </w:t>
      </w:r>
      <w:r>
        <w:t xml:space="preserve">from the tagged repository for a full numerical rerun.</w:t>
      </w:r>
    </w:p>
    <w:bookmarkEnd w:id="55"/>
    <w:bookmarkStart w:id="56" w:name="declarations"/>
    <w:p>
      <w:pPr>
        <w:pStyle w:val="Heading2"/>
      </w:pPr>
      <w:r>
        <w:t xml:space="preserve">Declarations</w:t>
      </w:r>
    </w:p>
    <w:p>
      <w:pPr>
        <w:pStyle w:val="FirstParagraph"/>
      </w:pPr>
      <w:r>
        <w:rPr>
          <w:b/>
          <w:bCs/>
        </w:rPr>
        <w:t xml:space="preserve">Funding.</w:t>
      </w:r>
      <w:r>
        <w:t xml:space="preserve"> </w:t>
      </w:r>
      <w:r>
        <w:t xml:space="preserve">No external funding was received for this study.</w:t>
      </w:r>
    </w:p>
    <w:p>
      <w:pPr>
        <w:pStyle w:val="BodyText"/>
      </w:pPr>
      <w:r>
        <w:rPr>
          <w:b/>
          <w:bCs/>
        </w:rPr>
        <w:t xml:space="preserve">Competing interests.</w:t>
      </w:r>
      <w:r>
        <w:t xml:space="preserve"> </w:t>
      </w:r>
      <w:r>
        <w:t xml:space="preserve">Ning Zhou is employed by Beijing Freedo Technology Co., Ltd., which develops geospatial-world-model software. The author declares no other competing financial or personal interests.</w:t>
      </w:r>
    </w:p>
    <w:p>
      <w:pPr>
        <w:pStyle w:val="BodyText"/>
      </w:pPr>
      <w:r>
        <w:rPr>
          <w:b/>
          <w:bCs/>
        </w:rPr>
        <w:t xml:space="preserve">CRediT author statement.</w:t>
      </w:r>
      <w:r>
        <w:t xml:space="preserve"> </w:t>
      </w:r>
      <w:r>
        <w:t xml:space="preserve">Ning Zhou: Conceptualization, methodology, software, data curation, formal analysis, visualization, writing—original draft, writing—review and editing.</w:t>
      </w:r>
    </w:p>
    <w:p>
      <w:pPr>
        <w:pStyle w:val="BodyText"/>
      </w:pPr>
      <w:r>
        <w:rPr>
          <w:b/>
          <w:bCs/>
        </w:rPr>
        <w:t xml:space="preserve">Acknowledgements.</w:t>
      </w:r>
      <w:r>
        <w:t xml:space="preserve"> </w:t>
      </w:r>
      <w:r>
        <w:t xml:space="preserve">The author thanks the anonymous reviewers for independent technical verification and constructive methodological comments.</w:t>
      </w:r>
    </w:p>
    <w:p>
      <w:pPr>
        <w:pStyle w:val="BodyText"/>
      </w:pPr>
      <w:r>
        <w:rPr>
          <w:b/>
          <w:bCs/>
        </w:rPr>
        <w:t xml:space="preserve">Ethics statement.</w:t>
      </w:r>
      <w:r>
        <w:t xml:space="preserve"> </w:t>
      </w:r>
      <w:r>
        <w:t xml:space="preserve">Not applicable; the study used geospatial raster, vector and derived public-data products and did not involve human or animal participants.</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4"/>
        </w:numPr>
      </w:pPr>
      <w:r>
        <w:rPr>
          <w:b/>
          <w:bCs/>
        </w:rPr>
        <w:t xml:space="preserve">Supplementary Note 1:</w:t>
      </w:r>
      <w:r>
        <w:t xml:space="preserve"> </w:t>
      </w:r>
      <w:r>
        <w:t xml:space="preserve">Complete data crosswalk, quality metrics and public/proxy status.</w:t>
      </w:r>
    </w:p>
    <w:p>
      <w:pPr>
        <w:pStyle w:val="Compact"/>
        <w:numPr>
          <w:ilvl w:val="0"/>
          <w:numId w:val="1004"/>
        </w:numPr>
      </w:pPr>
      <w:r>
        <w:rPr>
          <w:b/>
          <w:bCs/>
        </w:rPr>
        <w:t xml:space="preserve">Supplementary Note 2:</w:t>
      </w:r>
      <w:r>
        <w:t xml:space="preserve"> </w:t>
      </w:r>
      <w:r>
        <w:t xml:space="preserve">Kernel runtime schemas, audit fields and adapter boundary.</w:t>
      </w:r>
    </w:p>
    <w:p>
      <w:pPr>
        <w:pStyle w:val="Compact"/>
        <w:numPr>
          <w:ilvl w:val="0"/>
          <w:numId w:val="1004"/>
        </w:numPr>
      </w:pPr>
      <w:r>
        <w:rPr>
          <w:b/>
          <w:bCs/>
        </w:rPr>
        <w:t xml:space="preserve">Supplementary Table S1:</w:t>
      </w:r>
      <w:r>
        <w:t xml:space="preserve"> </w:t>
      </w:r>
      <w:r>
        <w:t xml:space="preserve">Full 2025–2031 model–scenario objective matrix with per-seed values.</w:t>
      </w:r>
    </w:p>
    <w:p>
      <w:pPr>
        <w:pStyle w:val="Compact"/>
        <w:numPr>
          <w:ilvl w:val="0"/>
          <w:numId w:val="1004"/>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4"/>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4"/>
        </w:numPr>
      </w:pPr>
      <w:r>
        <w:rPr>
          <w:b/>
          <w:bCs/>
        </w:rPr>
        <w:t xml:space="preserve">Supplementary Table S4:</w:t>
      </w:r>
      <w:r>
        <w:t xml:space="preserve"> </w:t>
      </w:r>
      <w:r>
        <w:t xml:space="preserve">Raster and vector delivery audit, hashes and layer counts.</w:t>
      </w:r>
    </w:p>
    <w:p>
      <w:pPr>
        <w:pStyle w:val="Compact"/>
        <w:numPr>
          <w:ilvl w:val="0"/>
          <w:numId w:val="1004"/>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4"/>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4"/>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4"/>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4"/>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4"/>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4"/>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7" Type="http://schemas.openxmlformats.org/officeDocument/2006/relationships/image" Target="media/rId37.png"/><Relationship Id="rId34" Type="http://schemas.openxmlformats.org/officeDocument/2006/relationships/image" Target="media/rId34.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2026-09-10T13:18:32Z</dcterms:created>
  <dcterms:modified xsi:type="dcterms:W3CDTF">2026-09-10T13:18:32Z</dcterms:modified>
</cp:coreProperties>
</file>

<file path=docProps/custom.xml><?xml version="1.0" encoding="utf-8"?>
<Properties xmlns="http://schemas.openxmlformats.org/officeDocument/2006/custom-properties" xmlns:vt="http://schemas.openxmlformats.org/officeDocument/2006/docPropsVTypes"/>
</file>