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Auditing constrained geospatial allocation under annual land-cover product uncertainty</w:t>
      </w:r>
    </w:p>
    <w:p>
      <w:pPr>
        <w:pStyle w:val="Subtitle"/>
      </w:pPr>
      <w:r>
        <w:t>Ning Zhou</w:t>
        <w:br/>
        <w:t>Beijing Freedo Technology Co., Ltd.</w:t>
        <w:br/>
        <w:t>Corresponding author: zhouning@freedotech.com</w:t>
      </w:r>
    </w:p>
    <w:p>
      <w:pPr>
        <w:pStyle w:val="Heading2"/>
      </w:pPr>
      <w:r>
        <w:t xml:space="preserve">Abstract</w:t>
      </w:r>
    </w:p>
    <w:p>
      <w:pPr>
        <w:pStyle w:val="FirstParagraph"/>
      </w:pPr>
      <w:r>
        <w:t xml:space="preserve">Public land-cover products are increasingly used where authoritative local time series are unavailable, but product choice and within-product discontinuities can alter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Its built class also rose by 30.6% between 2021 and 2022 while wetland and woody classes later nearly disappeared, an unreconciled series break. Kernel had the highest mean FoM in four Dynamic World targets and two matched ArcGIS-served targets; these numerical ranks did not uniformly imply paired-interval separation. Net-change allocation imposed product-specific count-only FoM upper bounds of 0.086–0.813 only for exact minimum-change allocators. Kernel’s ArcGIS-minus-Dynamic World strict change Figure of Merit ranged from -0.244 to +0.205. The product-specific 2031 frontiers retained FLUS-style and Kernel candidates in all scenarios, but their objective trade-offs changed.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product dependence and a series discontinuity.</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exact minimum-change scores, not CA scores.</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p>
      <w:pPr>
        <w:pStyle w:val="BodyText"/>
      </w:pPr>
      <w:r>
        <w:t xml:space="preserve">The random minimum-change controls are deterministic within each analysis but</w:t>
      </w:r>
      <w:r>
        <w:t xml:space="preserve"> </w:t>
      </w:r>
      <w:r>
        <w:t xml:space="preserve">not a shared cross-table estimator: the rolling-origin diagnostic derives its</w:t>
      </w:r>
      <w:r>
        <w:t xml:space="preserve"> </w:t>
      </w:r>
      <w:r>
        <w:t xml:space="preserve">stream from the declared seed plus origin year × 1,000, whereas the matched</w:t>
      </w:r>
      <w:r>
        <w:t xml:space="preserve"> </w:t>
      </w:r>
      <w:r>
        <w:t xml:space="preserve">product analysis uses the declared seed plus target year × 1,000. Their values</w:t>
      </w:r>
      <w:r>
        <w:t xml:space="preserve"> </w:t>
      </w:r>
      <w:r>
        <w:t xml:space="preserve">therefore serve as local zero controls in Supplementary Tables S5 and S6,</w:t>
      </w:r>
      <w:r>
        <w:t xml:space="preserve"> </w:t>
      </w:r>
      <w:r>
        <w:t xml:space="preserve">respectively, and are not compared numerically across those tables.</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associated Living Atlas item states that its 2018–2025 layers use a more complete image collection and cautions that 2017 may be less accurate (Esri, 2026). It does not disclose annual model-version identifiers.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w:t>
      </w:r>
    </w:p>
    <w:p>
      <w:pPr>
        <w:pStyle w:val="BodyText"/>
      </w:pPr>
      <w:r>
        <w:t xml:space="preserve">The service labels are Water (1), Trees (2), Flooded vegetation (4), Crops (5), Built (7), Bare (8), Snow/Ice (9), Clouds (10) and Rangeland (11). We mapped them to water (1), woody vegetation (2), wetland (4), low vegetation (5 and 11), built (7) and bare (8), excluding snow/ice and clouds. Mapping Rangeland to low vegetation is a study crosswalk decision, not an official land-use statement. A descriptive counterfactual mapping it to bare before the same 10 × 10 majority aggregation changes 2,265–2,792 100-m labels per year (Supplementary Table S6); no model was refit, so this does not establish rank sensitivity.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source URL, snapshot date and SHA-256 are preserved in</w:t>
      </w:r>
      <w:r>
        <w:t xml:space="preserve"> </w:t>
      </w:r>
      <w:r>
        <w:rPr>
          <w:rStyle w:val="VerbatimChar"/>
        </w:rPr>
        <w:t xml:space="preserve">osm_input_manifest.json</w:t>
      </w:r>
      <w:r>
        <w:t xml:space="preserve">;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(study-specific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binary was rebuilt from the preceding source revision</w:t>
      </w:r>
      <w:r>
        <w:t xml:space="preserve"> </w:t>
      </w:r>
      <w:r>
        <w:rPr>
          <w:rStyle w:val="VerbatimChar"/>
        </w:rPr>
        <w:t xml:space="preserve">deb0a54</w:t>
      </w:r>
      <w:r>
        <w:t xml:space="preserve">; the retained</w:t>
      </w:r>
      <w:r>
        <w:t xml:space="preserve"> </w:t>
      </w:r>
      <w:r>
        <w:rPr>
          <w:rStyle w:val="VerbatimChar"/>
        </w:rPr>
        <w:t xml:space="preserve">paper-benchmark-flus-v1.1</w:t>
      </w:r>
      <w:r>
        <w:t xml:space="preserve"> </w:t>
      </w:r>
      <w:r>
        <w:t xml:space="preserve">source tag at</w:t>
      </w:r>
      <w:r>
        <w:t xml:space="preserve"> </w:t>
      </w:r>
      <w:r>
        <w:rPr>
          <w:rStyle w:val="VerbatimChar"/>
        </w:rPr>
        <w:t xml:space="preserve">47e65b3</w:t>
      </w:r>
      <w:r>
        <w:t xml:space="preserve"> </w:t>
      </w:r>
      <w:r>
        <w:t xml:space="preserve">adds invalid-input failure handling only. Both revisions contain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for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The complete 6 × 6 annual cross-product matrices are supplied with the source</w:t>
      </w:r>
      <w:r>
        <w:t xml:space="preserve"> </w:t>
      </w:r>
      <w:r>
        <w:t xml:space="preserve">data. In 2021, 2022 and 2024, 61–68% of discordant cells were Dynamic World</w:t>
      </w:r>
      <w:r>
        <w:t xml:space="preserve"> </w:t>
      </w:r>
      <w:r>
        <w:t xml:space="preserve">bare mapped as ArcGIS-served built (13,078, 18,787 and 17,987 cells,</w:t>
      </w:r>
      <w:r>
        <w:t xml:space="preserve"> </w:t>
      </w:r>
      <w:r>
        <w:t xml:space="preserve">respectively); a further 3,723–4,496 cells per year were Dynamic World bare</w:t>
      </w:r>
      <w:r>
        <w:t xml:space="preserve"> </w:t>
      </w:r>
      <w:r>
        <w:t xml:space="preserve">mapped as ArcGIS-served water. The ArcGIS-served product also mapped 4,501,</w:t>
      </w:r>
      <w:r>
        <w:t xml:space="preserve"> </w:t>
      </w:r>
      <w:r>
        <w:t xml:space="preserve">4,985 and 5,131 more water cells than Dynamic World in those three years.</w:t>
      </w:r>
      <w:r>
        <w:t xml:space="preserve"> </w:t>
      </w:r>
      <w:r>
        <w:t xml:space="preserve">Because origin-year water and wetland are hard masks, this product difference</w:t>
      </w:r>
      <w:r>
        <w:t xml:space="preserve"> </w:t>
      </w:r>
      <w:r>
        <w:t xml:space="preserve">reduces the feasible allocation domain in the ArcGIS track. It is therefore a</w:t>
      </w:r>
      <w:r>
        <w:t xml:space="preserve"> </w:t>
      </w:r>
      <w:r>
        <w:t xml:space="preserve">pipeline difference, not an isolated replacement of target labels.</w:t>
      </w:r>
    </w:p>
    <w:p>
      <w:pPr>
        <w:pStyle w:val="BodyText"/>
      </w:pPr>
      <w:r>
        <w:t xml:space="preserve">The ArcGIS-served sequence is also not temporally homogeneous under this</w:t>
      </w:r>
      <w:r>
        <w:t xml:space="preserve"> </w:t>
      </w:r>
      <w:r>
        <w:t xml:space="preserve">crosswalk. Its mapped built cells rise from 21,608 in 2021 to 28,214 in 2022</w:t>
      </w:r>
      <w:r>
        <w:t xml:space="preserve"> </w:t>
      </w:r>
      <w:r>
        <w:t xml:space="preserve">(+30.6%), while bare cells fall from 34,521 to 27,821. Woody vegetation declines</w:t>
      </w:r>
      <w:r>
        <w:t xml:space="preserve"> </w:t>
      </w:r>
      <w:r>
        <w:t xml:space="preserve">from 293 cells in 2021 to 22 in 2023 and 2 in 2025; wetland similarly declines</w:t>
      </w:r>
      <w:r>
        <w:t xml:space="preserve"> </w:t>
      </w:r>
      <w:r>
        <w:t xml:space="preserve">from 792 to 24 and 17. Supplementary Table S6 reports all annual class stocks,</w:t>
      </w:r>
      <w:r>
        <w:t xml:space="preserve"> </w:t>
      </w:r>
      <w:r>
        <w:t xml:space="preserve">the crosswalk sensitivity and product-agreement data. Dynamic World, in contrast,</w:t>
      </w:r>
      <w:r>
        <w:t xml:space="preserve"> </w:t>
      </w:r>
      <w:r>
        <w:t xml:space="preserve">retains roughly 900–1,100 wetland cells and 311–917 woody cells. The Living Atlas</w:t>
      </w:r>
      <w:r>
        <w:t xml:space="preserve"> </w:t>
      </w:r>
      <w:r>
        <w:t xml:space="preserve">documentation flags a different 2017 imagery basis but provides no annual</w:t>
      </w:r>
      <w:r>
        <w:t xml:space="preserve"> </w:t>
      </w:r>
      <w:r>
        <w:t xml:space="preserve">model-version history, so we cannot attribute the 2021–2023 break to a specific</w:t>
      </w:r>
      <w:r>
        <w:t xml:space="preserve"> </w:t>
      </w:r>
      <w:r>
        <w:t xml:space="preserve">service change. It must not be read as observed city conversion. In particular,</w:t>
      </w:r>
      <w:r>
        <w:t xml:space="preserve"> </w:t>
      </w:r>
      <w:r>
        <w:t xml:space="preserve">the high 2022 ArcGIS score evaluates allocation against a target whose class</w:t>
      </w:r>
      <w:r>
        <w:t xml:space="preserve"> </w:t>
      </w:r>
      <w:r>
        <w:t xml:space="preserve">totals partly encode this discontinuity; it is not evidence that the model</w:t>
      </w:r>
      <w:r>
        <w:t xml:space="preserve"> </w:t>
      </w:r>
      <w:r>
        <w:t xml:space="preserve">recovered a verified one-year construction event. The ArcGIS 2025 planning origin</w:t>
      </w:r>
      <w:r>
        <w:t xml:space="preserve"> </w:t>
      </w:r>
      <w:r>
        <w:t xml:space="preserve">likewise contains only two woody and 17 wetland cells. Water and wetland masks</w:t>
      </w:r>
      <w:r>
        <w:t xml:space="preserve"> </w:t>
      </w:r>
      <w:r>
        <w:t xml:space="preserve">remain hard exclusions, but ecological semantics attached to the latter class are</w:t>
      </w:r>
      <w:r>
        <w:t xml:space="preserve"> </w:t>
      </w:r>
      <w:r>
        <w:t xml:space="preserve">structurally sparse in that product track.</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had the highest mean in the</w:t>
      </w:r>
      <w:r>
        <w:t xml:space="preserve"> </w:t>
      </w:r>
      <w:r>
        <w:t xml:space="preserve">ArcGIS-served 2021 target (0.0625 versus Kernel 0.0154 and GeoFM-LDN 0.0314),</w:t>
      </w:r>
      <w:r>
        <w:t xml:space="preserve"> </w:t>
      </w:r>
      <w:r>
        <w:t xml:space="preserve">but this is not a like-for-like minimum-change comparison: FLUS changed</w:t>
      </w:r>
      <w:r>
        <w:t xml:space="preserve"> </w:t>
      </w:r>
      <w:r>
        <w:t xml:space="preserve">779–6,860 cells across seeds whereas the other three allocators changed exactly</w:t>
      </w:r>
      <w:r>
        <w:t xml:space="preserve"> </w:t>
      </w:r>
      <w:r>
        <w:t xml:space="preserve">278.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The FLUS mean</w:t>
      </w:r>
      <w:r>
        <w:t xml:space="preserve"> </w:t>
      </w:r>
      <w:r>
        <w:t xml:space="preserve">is driven upward by its seed-73 result (6,693 changed cells; FoM 0.1052), while</w:t>
      </w:r>
      <w:r>
        <w:t xml:space="preserve"> </w:t>
      </w:r>
      <w:r>
        <w:t xml:space="preserve">its other two seeds (1,651 and 957 changed cells; FoM 0.0632 and 0.0510) overlap</w:t>
      </w:r>
      <w:r>
        <w:t xml:space="preserve"> </w:t>
      </w:r>
      <w:r>
        <w:t xml:space="preserve">the Kernel seed range. Kernel is therefore not the numerical leader in that fold,</w:t>
      </w:r>
      <w:r>
        <w:t xml:space="preserve"> </w:t>
      </w:r>
      <w:r>
        <w:t xml:space="preserve">but neither is a seed-pooled claim of FLUS superiority supported. Block-size</w:t>
      </w:r>
      <w:r>
        <w:t xml:space="preserve"> </w:t>
      </w:r>
      <w:r>
        <w:t xml:space="preserve">sensitivity has not been established, and repeated seeds do not constitute</w:t>
      </w:r>
      <w:r>
        <w:t xml:space="preserve"> </w:t>
      </w:r>
      <w:r>
        <w:t xml:space="preserve">independent 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for</w:t>
      </w:r>
      <w:r>
        <w:t xml:space="preserve"> </w:t>
      </w:r>
      <w:r>
        <w:t xml:space="preserve">the exact minimum-change projections only.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Supplementary Table S7 also shows that FLUS already permits</w:t>
      </w:r>
      <w:r>
        <w:t xml:space="preserve"> </w:t>
      </w:r>
      <w:r>
        <w:t xml:space="preserve">simultaneous class inflows and outflows: its altered-cell totals span 1.1–24.7</w:t>
      </w:r>
      <w:r>
        <w:t xml:space="preserve"> </w:t>
      </w:r>
      <w:r>
        <w:t xml:space="preserve">times M across the ArcGIS folds. The bounds therefore do not explain its 2021</w:t>
      </w:r>
      <w:r>
        <w:t xml:space="preserve"> </w:t>
      </w:r>
      <w:r>
        <w:t xml:space="preserve">mean or constrain its FoM.</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The retained candidates trade</w:t>
      </w:r>
      <w:r>
        <w:t xml:space="preserve"> </w:t>
      </w:r>
      <w:r>
        <w:t xml:space="preserve">off different objectives after product replacement: in every ArcGIS scenario,</w:t>
      </w:r>
      <w:r>
        <w:t xml:space="preserve"> </w:t>
      </w:r>
      <w:r>
        <w:t xml:space="preserve">FLUS has lower mean major-road distance and lower union-built component density,</w:t>
      </w:r>
      <w:r>
        <w:t xml:space="preserve"> </w:t>
      </w:r>
      <w:r>
        <w:t xml:space="preserve">whereas Kernel has lower mean distance to pre-existing built cells (Supplementary</w:t>
      </w:r>
      <w:r>
        <w:t xml:space="preserve"> </w:t>
      </w:r>
      <w:r>
        <w:t xml:space="preserve">Table S1). Identical membership among three candidates therefore does not</w:t>
      </w:r>
      <w:r>
        <w:t xml:space="preserve"> </w:t>
      </w:r>
      <w:r>
        <w:t xml:space="preserve">establish spatial agreement, stable objective profiles or planning benefits.</w:t>
      </w:r>
      <w:r>
        <w:t xml:space="preserve"> </w:t>
      </w:r>
      <w:r>
        <w:t xml:space="preserve">Product-specific origins, horizons and actions also differ; this is not a</w:t>
      </w:r>
      <w:r>
        <w:t xml:space="preserve"> </w:t>
      </w:r>
      <w:r>
        <w:t xml:space="preserve">controlled experiment holding demand and initial 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480708"/>
            <wp:effectExtent b="0" l="0" r="0" t="0"/>
            <wp:docPr descr="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480708"/>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ArcGIS-origin bundle does not preserve the same objective ordering. In its</w:t>
      </w:r>
      <w:r>
        <w:t xml:space="preserve"> </w:t>
      </w:r>
      <w:r>
        <w:t xml:space="preserve">three scenarios, FLUS-style ANN–CA has lower mean distance to major roads</w:t>
      </w:r>
      <w:r>
        <w:t xml:space="preserve"> </w:t>
      </w:r>
      <w:r>
        <w:t xml:space="preserve">(368/366/389 m) and lower union-built component density (0.731/0.798/0.631 per</w:t>
      </w:r>
      <w:r>
        <w:t xml:space="preserve"> </w:t>
      </w:r>
      <w:r>
        <w:t xml:space="preserve">1,000 cells), whereas Kernel has lower mean distance to pre-existing built</w:t>
      </w:r>
      <w:r>
        <w:t xml:space="preserve"> </w:t>
      </w:r>
      <w:r>
        <w:t xml:space="preserve">cells (119/113/155 m; Supplementary Table S1). Thus the two retained frontier</w:t>
      </w:r>
      <w:r>
        <w:t xml:space="preserve"> </w:t>
      </w:r>
      <w:r>
        <w:t xml:space="preserve">members are stable as a set, but the dimension supporting each member changes</w:t>
      </w:r>
      <w:r>
        <w:t xml:space="preserve"> </w:t>
      </w:r>
      <w:r>
        <w:t xml:space="preserve">when the product-specific origin and actions change.</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5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6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7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ArcGIS series additionally has a pronounced internal</w:t>
      </w:r>
      <w:r>
        <w:t xml:space="preserve"> </w:t>
      </w:r>
      <w:r>
        <w:t xml:space="preserve">class-composition break between 2021 and 2023, with no published annual</w:t>
      </w:r>
      <w:r>
        <w:t xml:space="preserve"> </w:t>
      </w:r>
      <w:r>
        <w:t xml:space="preserve">model-version history. Its 2022 change prevalence and high GeoFM-LDN FoM may</w:t>
      </w:r>
      <w:r>
        <w:t xml:space="preserve"> </w:t>
      </w:r>
      <w:r>
        <w:t xml:space="preserve">therefore partly score a product reclassification rather than land-cover change;</w:t>
      </w:r>
      <w:r>
        <w:t xml:space="preserve"> </w:t>
      </w:r>
      <w:r>
        <w:t xml:space="preserve">the sparse ArcGIS wetland/woody states also weaken ecological interpretation of</w:t>
      </w:r>
      <w:r>
        <w:t xml:space="preserve"> </w:t>
      </w:r>
      <w:r>
        <w:t xml:space="preserve">the 2025-origin scenario track.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study-specific</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w:t>
      </w:r>
      <w:r>
        <w:t xml:space="preserve"> </w:t>
      </w:r>
      <w:r>
        <w:t xml:space="preserve">its headline comparison uses seven drivers. It is already a gross-transition</w:t>
      </w:r>
      <w:r>
        <w:t xml:space="preserve"> </w:t>
      </w:r>
      <w:r>
        <w:t xml:space="preserve">allocator: across ArcGIS folds it changes 1.1–24.7 times the exact minimum-change</w:t>
      </w:r>
      <w:r>
        <w:t xml:space="preserve"> </w:t>
      </w:r>
      <w:r>
        <w:t xml:space="preserve">budget while retaining near-zero demand error. This extra transition budget does</w:t>
      </w:r>
      <w:r>
        <w:t xml:space="preserve"> </w:t>
      </w:r>
      <w:r>
        <w:t xml:space="preserve">not itself deliver higher FoM: FLUS is below Kernel on Dynamic World 2021 despite</w:t>
      </w:r>
      <w:r>
        <w:t xml:space="preserve"> </w:t>
      </w:r>
      <w:r>
        <w:t xml:space="preserve">changing 4.4–5.2 times as many cells, and its apparent ArcGIS 2021/2025 mean</w:t>
      </w:r>
      <w:r>
        <w:t xml:space="preserve"> </w:t>
      </w:r>
      <w:r>
        <w:t xml:space="preserve">advantages occur where its seed-specific altered-cell totals are highly variable.</w:t>
      </w:r>
      <w:r>
        <w:t xml:space="preserve"> </w:t>
      </w:r>
      <w:r>
        <w:t xml:space="preserve">The next gross-transition experiment should therefore hold the proposal model,</w:t>
      </w:r>
      <w:r>
        <w:t xml:space="preserve"> </w:t>
      </w:r>
      <w:r>
        <w:t xml:space="preserve">candidate pool and constraints fixed rather than treating the existing FLUS</w:t>
      </w:r>
      <w:r>
        <w:t xml:space="preserve"> </w:t>
      </w:r>
      <w:r>
        <w:t xml:space="preserve">baseline as a direct test of Kernel’s projection.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candidate</w:t>
      </w:r>
      <w:r>
        <w:t xml:space="preserve"> </w:t>
      </w:r>
      <w:r>
        <w:t xml:space="preserve">pool and masks. The FLUS baseline provides only partial evidence because its</w:t>
      </w:r>
      <w:r>
        <w:t xml:space="preserve"> </w:t>
      </w:r>
      <w:r>
        <w:t xml:space="preserve">suitability learner, finite CA iterations and candidate mechanism also differ.</w:t>
      </w:r>
      <w:r>
        <w:t xml:space="preserve"> </w:t>
      </w:r>
      <w:r>
        <w:t xml:space="preserve">Neither independent reference validation nor this controlled gross-transition</w:t>
      </w:r>
      <w:r>
        <w:t xml:space="preserve"> </w:t>
      </w:r>
      <w:r>
        <w:t xml:space="preserve">experiment has been performed. They are requirements for extending the present</w:t>
      </w:r>
      <w:r>
        <w:t xml:space="preserve"> </w:t>
      </w:r>
      <w:r>
        <w:t xml:space="preserve">conditional 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while its 2021–2023 class-composition</w:t>
      </w:r>
      <w:r>
        <w:t xml:space="preserve"> </w:t>
      </w:r>
      <w:r>
        <w:t xml:space="preserve">break made part of the apparent change unsuitable as evidence of city change.</w:t>
      </w:r>
      <w:r>
        <w:t xml:space="preserve"> </w:t>
      </w:r>
      <w:r>
        <w:t xml:space="preserve">Geospatial Kernel remained consistently better than random minimum-change</w:t>
      </w:r>
      <w:r>
        <w:t xml:space="preserve"> </w:t>
      </w:r>
      <w:r>
        <w:t xml:space="preserve">allocation, but it was not universally the best learned model. Its strongest</w:t>
      </w:r>
      <w:r>
        <w:t xml:space="preserve"> </w:t>
      </w:r>
      <w:r>
        <w:t xml:space="preserve">transferable property in this experiment is therefore the auditable separation</w:t>
      </w:r>
      <w:r>
        <w:t xml:space="preserve"> </w:t>
      </w:r>
      <w:r>
        <w:t xml:space="preserve">of learned proposal, constrained projection and state writeback, not a</w:t>
      </w:r>
      <w:r>
        <w:t xml:space="preserve"> </w:t>
      </w:r>
      <w:r>
        <w:t xml:space="preserve">product-independent accuracy claim. The count-only bounds constrain only the</w:t>
      </w:r>
      <w:r>
        <w:t xml:space="preserve"> </w:t>
      </w:r>
      <w:r>
        <w:t xml:space="preserve">exact minimum-change projections; the FLUS baseline already shows that allowing</w:t>
      </w:r>
      <w:r>
        <w:t xml:space="preserve"> </w:t>
      </w:r>
      <w:r>
        <w:t xml:space="preserve">more gross change alone does not determine FoM. A controlled gross-transition</w:t>
      </w:r>
      <w:r>
        <w:t xml:space="preserve"> </w:t>
      </w:r>
      <w:r>
        <w:t xml:space="preserve">comparison must separate that budget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v2.0.0 (https://doi.org/10.5281/zenodo.22689057), corresponding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version-independent concept DOI is https://doi.org/10.5281/zenodo.22663475. The published v2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 This manuscript’s separate working-revision manifest additionally freezes the 27 per-seed 2031 ArcGIS planning rasters required to regenerate Fig. 4 and Supplementary Tables S1/S6 from frozen inputs.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and retrieving its LFS objects;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Supplementary Tables S1/S6, and the 27 frozen per-seed 2031 ArcGIS planning states, whose locations and hashes are recorded in the working-revision publication-output manifest;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SHA-256 manifests. Working-revision text records use canonical LF hashes and pass with</w:t>
      </w:r>
      <w:r>
        <w:t xml:space="preserve"> </w:t>
      </w:r>
      <w:r>
        <w:rPr>
          <w:rStyle w:val="VerbatimChar"/>
        </w:rPr>
        <w:t xml:space="preserve">core.autocrlf=true</w:t>
      </w:r>
      <w:r>
        <w:t xml:space="preserve">; exact verification of the published v2.0.0 manifests requires a separate LF checkout (</w:t>
      </w:r>
      <w:r>
        <w:rPr>
          <w:rStyle w:val="VerbatimChar"/>
        </w:rPr>
        <w:t xml:space="preserve">git -c core.autocrlf=false checkout v2.0.0</w:t>
      </w:r>
      <w:r>
        <w:t xml:space="preserve">) because six historic text records use raw-byte hashes.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 maintained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p>
      <w:pPr>
        <w:pStyle w:val="FirstParagraph"/>
      </w:pPr>
      <w:r>
        <w:t xml:space="preserve">The current working revision and the published v2.0.0 archive are distinct</w:t>
      </w:r>
      <w:r>
        <w:t xml:space="preserve"> </w:t>
      </w:r>
      <w:r>
        <w:t xml:space="preserve">versions. The published DOI continues to identify its original tagged inputs,</w:t>
      </w:r>
      <w:r>
        <w:t xml:space="preserve"> </w:t>
      </w:r>
      <w:r>
        <w:t xml:space="preserve">outputs and manuscript. The working revision adds report-derived allocation and</w:t>
      </w:r>
      <w:r>
        <w:t xml:space="preserve"> </w:t>
      </w:r>
      <w:r>
        <w:t xml:space="preserve">crosswalk analyses, working-revision 2031 seed rasters, and revised interpretation</w:t>
      </w:r>
      <w:r>
        <w:t xml:space="preserve"> </w:t>
      </w:r>
      <w:r>
        <w:t xml:space="preserve">without retraining models or replacing historical prediction rasters. Its separate working manifests and source hashes</w:t>
      </w:r>
      <w:r>
        <w:t xml:space="preserve"> </w:t>
      </w:r>
      <w:r>
        <w:t xml:space="preserve">are described in</w:t>
      </w:r>
      <w:r>
        <w:t xml:space="preserve"> </w:t>
      </w:r>
      <w:r>
        <w:rPr>
          <w:rStyle w:val="VerbatimChar"/>
        </w:rPr>
        <w:t xml:space="preserve">benchmarks/abu_dhabi_land_use_v2/reproducibility/WORKING_REVISION.md</w:t>
      </w:r>
      <w:r>
        <w:t xml:space="preserve">;</w:t>
      </w:r>
      <w:r>
        <w:t xml:space="preserve"> </w:t>
      </w:r>
      <w:r>
        <w:t xml:space="preserve">passing them verifies the declared revision, not a new DOI release.</w:t>
      </w:r>
    </w:p>
    <w:bookmarkEnd w:id="54"/>
    <w:bookmarkStart w:id="5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run_arcgis_historical_backtest.py</w:t>
      </w:r>
      <w:r>
        <w:t xml:space="preserve"> </w:t>
      </w:r>
      <w:r>
        <w:t xml:space="preserve">for both leakage-controlled product tracks;</w:t>
      </w:r>
    </w:p>
    <w:p>
      <w:pPr>
        <w:pStyle w:val="Compact"/>
        <w:numPr>
          <w:ilvl w:val="0"/>
          <w:numId w:val="1003"/>
        </w:numPr>
      </w:pPr>
      <w:r>
        <w:rPr>
          <w:rStyle w:val="VerbatimChar"/>
        </w:rPr>
        <w:t xml:space="preserve">analyze_product_robustness.py</w:t>
      </w:r>
      <w:r>
        <w:t xml:space="preserve">,</w:t>
      </w:r>
      <w:r>
        <w:t xml:space="preserve"> </w:t>
      </w:r>
      <w:r>
        <w:rPr>
          <w:rStyle w:val="VerbatimChar"/>
        </w:rPr>
        <w:t xml:space="preserve">source_data_fig04_product_robustness.csv</w:t>
      </w:r>
      <w:r>
        <w:t xml:space="preserve">,</w:t>
      </w:r>
      <w:r>
        <w:t xml:space="preserve"> </w:t>
      </w:r>
      <w:r>
        <w:rPr>
          <w:rStyle w:val="VerbatimChar"/>
        </w:rPr>
        <w:t xml:space="preserve">supplementary_table_S1_arcgis_planning_objectives.md</w:t>
      </w:r>
      <w:r>
        <w:t xml:space="preserve"> </w:t>
      </w:r>
      <w:r>
        <w:t xml:space="preserve">and</w:t>
      </w:r>
      <w:r>
        <w:t xml:space="preserve"> </w:t>
      </w:r>
      <w:r>
        <w:rPr>
          <w:rStyle w:val="VerbatimChar"/>
        </w:rPr>
        <w:t xml:space="preserve">supplementary_table_S6_product_robustness.md</w:t>
      </w:r>
      <w:r>
        <w:t xml:space="preserve"> </w:t>
      </w:r>
      <w:r>
        <w:t xml:space="preserve">for the cross-product analysis; its frozen 2031 seed states allow this analysis to rerun without a new simulation;</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https://doi.org/10.5281/zenodo.22689057 and corresponds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p>
      <w:pPr>
        <w:pStyle w:val="BodyText"/>
      </w:pPr>
      <w:r>
        <w:rPr>
          <w:b/>
          <w:bCs/>
        </w:rPr>
        <w:t xml:space="preserve">Declaration of generative AI and AI-assisted technologies in the writing process.</w:t>
      </w:r>
      <w:r>
        <w:t xml:space="preserve"> </w:t>
      </w:r>
      <w:r>
        <w:t xml:space="preserve">During preparation of this work, the author used OpenAI Codex for language editing, code review and document-formatting assistance. The author reviewed and revised all outputs and takes full responsibility for the content of the publication.</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Esri. (2026). Sentinel-2 10 m land cover time series of the world [Data set]. ArcGIS Living Atlas of the World. https://www.arcgis.com/home/item.html?id=cfcb7609de5f478eb7666240902d4d3d (accessed 11 September 2026).</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4"/>
        </w:numPr>
      </w:pPr>
      <w:r>
        <w:rPr>
          <w:b/>
          <w:bCs/>
        </w:rPr>
        <w:t xml:space="preserve">Supplementary Table S1:</w:t>
      </w:r>
      <w:r>
        <w:t xml:space="preserve"> </w:t>
      </w:r>
      <w:r>
        <w:t xml:space="preserve">ArcGIS-served 2031 model–scenario objective profiles with per-seed dispersion (see</w:t>
      </w:r>
      <w:r>
        <w:t xml:space="preserve"> </w:t>
      </w:r>
      <w:r>
        <w:rPr>
          <w:rStyle w:val="VerbatimChar"/>
        </w:rPr>
        <w:t xml:space="preserve">supplementary_table_S1_arcgis_planning_objectives.md</w:t>
      </w:r>
      <w:r>
        <w:t xml:space="preserve">).</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4"/>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2026-09-11T12:43:30Z</dcterms:created>
  <dcterms:modified xsi:type="dcterms:W3CDTF">2026-09-11T12:43:30Z</dcterms:modified>
</cp:coreProperties>
</file>

<file path=docProps/custom.xml><?xml version="1.0" encoding="utf-8"?>
<Properties xmlns="http://schemas.openxmlformats.org/officeDocument/2006/custom-properties" xmlns:vt="http://schemas.openxmlformats.org/officeDocument/2006/docPropsVTypes"/>
</file>