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label dependence in model rankings.</w:t>
      </w:r>
    </w:p>
    <w:p>
      <w:pPr>
        <w:pStyle w:val="Compact"/>
        <w:numPr>
          <w:ilvl w:val="0"/>
          <w:numId w:val="1001"/>
        </w:numPr>
      </w:pPr>
      <w:r>
        <w:t xml:space="preserve">Kernel leads four Dynamic World and two of four matched ArcGIS folds.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ArcGIS-served labels extend the scenario origin state to 2025.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2026-09-10T11:31:54Z</dcterms:created>
  <dcterms:modified xsi:type="dcterms:W3CDTF">2026-09-10T11:31:54Z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